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pStyle w:val="Style_1"/>
        <w:ind/>
        <w:jc w:val="right"/>
      </w:pPr>
      <w:r>
        <w:t>Приложение</w:t>
      </w:r>
    </w:p>
    <w:p>
      <w:pPr>
        <w:pStyle w:val="Style_1"/>
        <w:ind/>
        <w:jc w:val="both"/>
      </w:pPr>
    </w:p>
    <w:p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НАЛОГ НА ИМУЩЕСТВО ФИЗИЧЕСКИХ ЛИЦ </w:t>
      </w:r>
    </w:p>
    <w:p>
      <w:pPr>
        <w:pStyle w:val="Style_1"/>
        <w:ind/>
        <w:jc w:val="center"/>
        <w:rPr>
          <w:b w:val="1"/>
        </w:rPr>
      </w:pPr>
      <w:r>
        <w:rPr>
          <w:b w:val="1"/>
        </w:rPr>
        <w:t>ИСХОДЯ ИЗ КАДАСТРОВОЙ СТОИМОСТИ ОБЪЕКТОВ НАЛОГООБЛОЖЕНИЯ</w:t>
      </w:r>
    </w:p>
    <w:p>
      <w:pPr>
        <w:pStyle w:val="Style_1"/>
        <w:ind/>
        <w:jc w:val="both"/>
      </w:pPr>
    </w:p>
    <w:tbl>
      <w:tblPr>
        <w:tblStyle w:val="Style_2"/>
        <w:tblInd w:type="dxa" w:w="-222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60"/>
        <w:gridCol w:w="3544"/>
        <w:gridCol w:w="5386"/>
      </w:tblGrid>
      <w:t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602742" cy="592531"/>
                  <wp:docPr id="1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1" r:link=""/>
                          <a:stretch/>
                        </pic:blipFill>
                        <pic:spPr>
                          <a:xfrm>
                            <a:off x="0" y="0"/>
                            <a:ext cx="602742" cy="5925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 xml:space="preserve">НАЛОГОПЛАТЕЛЬЩИКИ 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3"/>
              <w:spacing w:after="0" w:before="0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Физические лица – собственники объектов налогообложения</w:t>
            </w:r>
          </w:p>
        </w:tc>
      </w:tr>
      <w:tr>
        <w:trPr>
          <w:trHeight w:hRule="atLeast" w:val="1925"/>
        </w:trP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621792" cy="555955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2" r:link=""/>
                          <a:stretch/>
                        </pic:blipFill>
                        <pic:spPr>
                          <a:xfrm>
                            <a:off x="0" y="0"/>
                            <a:ext cx="621792" cy="5559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>ОБЪЕКТ</w:t>
            </w:r>
          </w:p>
          <w:p>
            <w:pPr>
              <w:pStyle w:val="Style_1"/>
            </w:pPr>
            <w:r>
              <w:t>НАЛОГООБЛОЖЕНИЯ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3"/>
              <w:spacing w:after="0" w:before="0"/>
              <w:ind/>
              <w:jc w:val="both"/>
            </w:pPr>
            <w:r>
              <w:rPr>
                <w:b w:val="0"/>
                <w:sz w:val="28"/>
              </w:rPr>
              <w:t>Ж</w:t>
            </w:r>
            <w:r>
              <w:rPr>
                <w:b w:val="0"/>
                <w:sz w:val="28"/>
              </w:rPr>
              <w:t>илой дом;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жилое помещение (квартира, комната);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гараж, </w:t>
            </w:r>
            <w:r>
              <w:rPr>
                <w:b w:val="0"/>
                <w:sz w:val="28"/>
              </w:rPr>
              <w:t>машино-место</w:t>
            </w:r>
            <w:r>
              <w:rPr>
                <w:b w:val="0"/>
                <w:sz w:val="28"/>
              </w:rPr>
              <w:t>;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единый недвижимый комплекс;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объект незавершенного строительства и иные здани</w:t>
            </w:r>
            <w:r>
              <w:rPr>
                <w:b w:val="0"/>
                <w:sz w:val="28"/>
              </w:rPr>
              <w:t>я</w:t>
            </w:r>
            <w:r>
              <w:rPr>
                <w:b w:val="0"/>
                <w:sz w:val="28"/>
              </w:rPr>
              <w:t>, строение, сооружение, помещение.</w:t>
            </w:r>
          </w:p>
        </w:tc>
      </w:tr>
      <w:t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819302" cy="607161"/>
                  <wp:docPr id="3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3" r:link=""/>
                          <a:stretch/>
                        </pic:blipFill>
                        <pic:spPr>
                          <a:xfrm>
                            <a:off x="0" y="0"/>
                            <a:ext cx="819302" cy="6071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>НАЛОГОВЫЕ  СТАВКИ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Налоговые ставки определяются представительными органами поселений и городских округов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Налоговым кодексом Р</w:t>
            </w:r>
            <w:r>
              <w:rPr>
                <w:rFonts w:ascii="Times New Roman" w:hAnsi="Times New Roman"/>
                <w:sz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едерации</w:t>
            </w:r>
            <w:r>
              <w:rPr>
                <w:rFonts w:ascii="Times New Roman" w:hAnsi="Times New Roman"/>
                <w:sz w:val="28"/>
              </w:rPr>
              <w:t xml:space="preserve"> ставки определены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>
            <w:pPr>
              <w:spacing w:after="0" w:line="240" w:lineRule="auto"/>
              <w:ind w:firstLine="50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0,1 процента</w:t>
            </w:r>
            <w:r>
              <w:rPr>
                <w:rFonts w:ascii="Times New Roman" w:hAnsi="Times New Roman"/>
                <w:sz w:val="28"/>
              </w:rPr>
              <w:t xml:space="preserve"> в отношении: жилых домов, жилых помещений; объект</w:t>
            </w:r>
            <w:r>
              <w:rPr>
                <w:rFonts w:ascii="Times New Roman" w:hAnsi="Times New Roman"/>
                <w:sz w:val="28"/>
              </w:rPr>
              <w:t>ов незавершенного строительства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единых недвижимых комплексов; гаражей и </w:t>
            </w:r>
            <w:r>
              <w:rPr>
                <w:rFonts w:ascii="Times New Roman" w:hAnsi="Times New Roman"/>
                <w:sz w:val="28"/>
              </w:rPr>
              <w:t>машино-мест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хозяйственных строений или сооружений;</w:t>
            </w:r>
          </w:p>
          <w:p>
            <w:pPr>
              <w:spacing w:after="0" w:line="240" w:lineRule="auto"/>
              <w:ind w:firstLine="505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2,0 процентов</w:t>
            </w:r>
            <w:r>
              <w:rPr>
                <w:rFonts w:ascii="Times New Roman" w:hAnsi="Times New Roman"/>
                <w:sz w:val="28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>
            <w:pPr>
              <w:pStyle w:val="Style_3"/>
              <w:spacing w:after="0" w:before="0"/>
              <w:ind w:firstLine="505" w:left="0"/>
              <w:jc w:val="both"/>
              <w:rPr>
                <w:b w:val="0"/>
                <w:sz w:val="28"/>
              </w:rPr>
            </w:pPr>
            <w:r>
              <w:rPr>
                <w:sz w:val="28"/>
              </w:rPr>
              <w:t>0,5 процента</w:t>
            </w:r>
            <w:r>
              <w:rPr>
                <w:b w:val="0"/>
                <w:sz w:val="28"/>
              </w:rPr>
              <w:t xml:space="preserve"> в отношении прочих объектов налогообложения.</w:t>
            </w:r>
          </w:p>
          <w:p>
            <w:pPr>
              <w:pStyle w:val="Style_3"/>
              <w:spacing w:after="0" w:before="0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</w:t>
            </w:r>
            <w:r>
              <w:rPr>
                <w:b w:val="0"/>
                <w:sz w:val="28"/>
              </w:rPr>
              <w:t>униципалитет</w:t>
            </w:r>
            <w:r>
              <w:rPr>
                <w:b w:val="0"/>
                <w:sz w:val="28"/>
              </w:rPr>
              <w:t>ами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ставки </w:t>
            </w:r>
            <w:r>
              <w:rPr>
                <w:sz w:val="28"/>
              </w:rPr>
              <w:t xml:space="preserve">могут </w:t>
            </w:r>
            <w:r>
              <w:rPr>
                <w:sz w:val="28"/>
              </w:rPr>
              <w:t xml:space="preserve">быть </w:t>
            </w:r>
            <w:r>
              <w:rPr>
                <w:sz w:val="28"/>
              </w:rPr>
              <w:t>уменьш</w:t>
            </w:r>
            <w:r>
              <w:rPr>
                <w:sz w:val="28"/>
              </w:rPr>
              <w:t>ены</w:t>
            </w:r>
            <w:r>
              <w:rPr>
                <w:sz w:val="28"/>
              </w:rPr>
              <w:t xml:space="preserve"> до нуля или увелич</w:t>
            </w:r>
            <w:r>
              <w:rPr>
                <w:sz w:val="28"/>
              </w:rPr>
              <w:t>ены</w:t>
            </w:r>
            <w:r>
              <w:rPr>
                <w:sz w:val="28"/>
              </w:rPr>
              <w:t>, но не более чем в три раза</w:t>
            </w:r>
            <w:r>
              <w:rPr>
                <w:b w:val="0"/>
                <w:sz w:val="28"/>
              </w:rPr>
              <w:t>.</w:t>
            </w:r>
          </w:p>
          <w:p>
            <w:pPr>
              <w:pStyle w:val="Style_1"/>
              <w:ind/>
              <w:jc w:val="both"/>
            </w:pPr>
            <w:r>
              <w:t>Д</w:t>
            </w:r>
            <w:r>
              <w:t>опускается установление дифференцированных налоговых ставок в зависимости от</w:t>
            </w:r>
            <w:r>
              <w:t xml:space="preserve"> </w:t>
            </w:r>
            <w:r>
              <w:t>кадастровой стоимости объекта налогообложения;</w:t>
            </w:r>
            <w:r>
              <w:t xml:space="preserve"> </w:t>
            </w:r>
            <w:r>
              <w:t>вида объекта налогообложения;</w:t>
            </w:r>
            <w:r>
              <w:t xml:space="preserve"> </w:t>
            </w:r>
            <w:r>
              <w:t>места нахождения объекта налогообложения;</w:t>
            </w:r>
            <w:r>
              <w:t xml:space="preserve"> </w:t>
            </w:r>
            <w:r>
              <w:t>видов территориальных зон, в границах которых расположен объект налогообложения</w:t>
            </w:r>
            <w:r>
              <w:t>.</w:t>
            </w:r>
            <w:r>
              <w:t xml:space="preserve"> </w:t>
            </w:r>
          </w:p>
        </w:tc>
      </w:tr>
      <w:t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681989" cy="614477"/>
                  <wp:docPr id="4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4" r:link=""/>
                          <a:stretch/>
                        </pic:blipFill>
                        <pic:spPr>
                          <a:xfrm>
                            <a:off x="0" y="0"/>
                            <a:ext cx="681989" cy="61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 xml:space="preserve">НАЛОГОВАЯ БАЗА </w:t>
            </w:r>
          </w:p>
          <w:p>
            <w:pPr>
              <w:pStyle w:val="Style_1"/>
            </w:pPr>
            <w:r>
              <w:t>И ВЫЧЕТЫ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  <w:ind/>
              <w:jc w:val="both"/>
            </w:pPr>
            <w:r>
              <w:t xml:space="preserve">Налоговая база определяется как </w:t>
            </w:r>
            <w:r>
              <w:t xml:space="preserve">кадастровая стоимость </w:t>
            </w:r>
            <w:r>
              <w:t xml:space="preserve">объекта налогообложения. При этом </w:t>
            </w:r>
            <w:r>
              <w:t xml:space="preserve">установлены </w:t>
            </w:r>
            <w:r>
              <w:t>налогов</w:t>
            </w:r>
            <w:r>
              <w:t xml:space="preserve">ые вычеты </w:t>
            </w:r>
            <w:r>
              <w:t>в отношении</w:t>
            </w:r>
            <w:r>
              <w:t>:</w:t>
            </w:r>
          </w:p>
          <w:p>
            <w:pPr>
              <w:pStyle w:val="Style_1"/>
              <w:ind/>
              <w:jc w:val="both"/>
            </w:pPr>
            <w:r>
              <w:t xml:space="preserve"> </w:t>
            </w:r>
            <w:r>
              <w:t>квартиры - 20 м</w:t>
            </w:r>
            <w:r>
              <w:rPr>
                <w:vertAlign w:val="superscript"/>
              </w:rPr>
              <w:t>2</w:t>
            </w:r>
            <w:r>
              <w:t xml:space="preserve">; </w:t>
            </w:r>
          </w:p>
          <w:p>
            <w:pPr>
              <w:pStyle w:val="Style_1"/>
              <w:ind/>
              <w:jc w:val="both"/>
            </w:pPr>
            <w:r>
              <w:t xml:space="preserve"> </w:t>
            </w:r>
            <w:r>
              <w:t>комнаты - 10 м</w:t>
            </w:r>
            <w:r>
              <w:rPr>
                <w:vertAlign w:val="superscript"/>
              </w:rPr>
              <w:t>2</w:t>
            </w:r>
            <w:r>
              <w:t xml:space="preserve">; </w:t>
            </w:r>
          </w:p>
          <w:p>
            <w:pPr>
              <w:pStyle w:val="Style_1"/>
              <w:ind/>
              <w:jc w:val="both"/>
            </w:pPr>
            <w:r>
              <w:t xml:space="preserve"> </w:t>
            </w:r>
            <w:r>
              <w:t>жилого дома - 50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>
            <w:pPr>
              <w:pStyle w:val="Style_1"/>
              <w:ind w:firstLine="788" w:left="0"/>
              <w:jc w:val="both"/>
            </w:pPr>
          </w:p>
        </w:tc>
      </w:tr>
      <w:tr>
        <w:trPr>
          <w:trHeight w:hRule="atLeast" w:val="4911"/>
        </w:trP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777767" cy="74615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5" r:link=""/>
                          <a:stretch/>
                        </pic:blipFill>
                        <pic:spPr>
                          <a:xfrm>
                            <a:off x="0" y="0"/>
                            <a:ext cx="777767" cy="746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>ЛЬГОТЫ ПО УПЛАТЕ НАЛОГА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spacing w:after="0" w:line="240" w:lineRule="auto"/>
              <w:ind w:hanging="18" w:left="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Льготы, освобождающие от уплаты налога, установлены </w:t>
            </w:r>
            <w:r>
              <w:rPr>
                <w:rFonts w:ascii="Times New Roman" w:hAnsi="Times New Roman"/>
                <w:sz w:val="28"/>
              </w:rPr>
              <w:t xml:space="preserve">ст. 407 </w:t>
            </w:r>
            <w:r>
              <w:rPr>
                <w:rFonts w:ascii="Times New Roman" w:hAnsi="Times New Roman"/>
                <w:sz w:val="28"/>
              </w:rPr>
              <w:t>Налогов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28"/>
                </w:rPr>
                <w:t>кодекс</w:t>
              </w:r>
              <w:r>
                <w:rPr>
                  <w:rFonts w:ascii="Times New Roman" w:hAnsi="Times New Roman"/>
                  <w:sz w:val="28"/>
                </w:rPr>
                <w:t>а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едерации</w:t>
            </w:r>
            <w:r>
              <w:rPr>
                <w:rFonts w:ascii="Times New Roman" w:hAnsi="Times New Roman"/>
                <w:sz w:val="28"/>
              </w:rPr>
              <w:t xml:space="preserve"> в отношении 15 категорий налогоплательщиков.</w:t>
            </w:r>
          </w:p>
          <w:p>
            <w:pPr>
              <w:spacing w:after="0" w:line="240" w:lineRule="auto"/>
              <w:ind w:hanging="18" w:left="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Предоставляются </w:t>
            </w:r>
            <w:r>
              <w:rPr>
                <w:rFonts w:ascii="Times New Roman" w:hAnsi="Times New Roman"/>
                <w:sz w:val="28"/>
              </w:rPr>
              <w:t xml:space="preserve">в отношении </w:t>
            </w:r>
            <w:r>
              <w:rPr>
                <w:rFonts w:ascii="Times New Roman" w:hAnsi="Times New Roman"/>
                <w:b w:val="1"/>
                <w:sz w:val="28"/>
              </w:rPr>
              <w:t>одного</w:t>
            </w:r>
            <w:r>
              <w:rPr>
                <w:rFonts w:ascii="Times New Roman" w:hAnsi="Times New Roman"/>
                <w:sz w:val="28"/>
              </w:rPr>
              <w:t xml:space="preserve"> объекта налогообложения, </w:t>
            </w:r>
            <w:r>
              <w:rPr>
                <w:rFonts w:ascii="Times New Roman" w:hAnsi="Times New Roman"/>
                <w:b w:val="1"/>
                <w:sz w:val="28"/>
              </w:rPr>
              <w:t>каждого вида</w:t>
            </w:r>
            <w:r>
              <w:rPr>
                <w:rFonts w:ascii="Times New Roman" w:hAnsi="Times New Roman"/>
                <w:sz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</w:p>
          <w:p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Органы местного самоуправления вправе устанавливать дополнительные льготы.</w:t>
            </w:r>
          </w:p>
          <w:p>
            <w:pPr>
              <w:pStyle w:val="Style_1"/>
              <w:ind/>
              <w:jc w:val="both"/>
            </w:pPr>
            <w:r>
              <w:t>Д</w:t>
            </w:r>
            <w:r>
              <w:t xml:space="preserve">окументы, подтверждающие право на льготу, </w:t>
            </w:r>
            <w:r>
              <w:t xml:space="preserve">представляются </w:t>
            </w:r>
            <w:r>
              <w:t>в налоговый орган по своему выбору.</w:t>
            </w:r>
          </w:p>
        </w:tc>
      </w:tr>
      <w:t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766877" cy="680313"/>
                  <wp:docPr id="6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7" r:link=""/>
                          <a:stretch/>
                        </pic:blipFill>
                        <pic:spPr>
                          <a:xfrm>
                            <a:off x="0" y="0"/>
                            <a:ext cx="766877" cy="6803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>РАСЧЕТ НАЛОГА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  <w:ind/>
              <w:jc w:val="both"/>
            </w:pPr>
            <w:r>
              <w:t>Сумма налога за первые четыре налоговых периода будет исчисляться с применением понижающих коэффициентов. Полная сумма налога будет уплачиваться только через пять лет.</w:t>
            </w:r>
          </w:p>
          <w:p>
            <w:pPr>
              <w:pStyle w:val="Style_1"/>
              <w:ind/>
              <w:jc w:val="both"/>
            </w:pPr>
            <w:r>
              <w:t xml:space="preserve">Расчет налога проводится по формуле: </w:t>
            </w:r>
          </w:p>
          <w:p>
            <w:pPr>
              <w:spacing w:after="0" w:line="240" w:lineRule="auto"/>
              <w:ind w:firstLine="0" w:left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 = (Н1 - Н2) </w:t>
            </w:r>
            <w:r>
              <w:rPr>
                <w:rFonts w:ascii="Times New Roman" w:hAnsi="Times New Roman"/>
                <w:b w:val="1"/>
                <w:sz w:val="28"/>
              </w:rPr>
              <w:t>x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</w:t>
            </w:r>
            <w:r>
              <w:rPr>
                <w:rFonts w:ascii="Times New Roman" w:hAnsi="Times New Roman"/>
                <w:b w:val="1"/>
                <w:sz w:val="28"/>
              </w:rPr>
              <w:t xml:space="preserve"> + Н2,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где</w:t>
            </w:r>
          </w:p>
          <w:p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 - </w:t>
            </w:r>
            <w:r>
              <w:rPr>
                <w:rFonts w:ascii="Times New Roman" w:hAnsi="Times New Roman"/>
                <w:sz w:val="28"/>
              </w:rPr>
              <w:t>сумма налога, подлежащая уплате;</w:t>
            </w:r>
          </w:p>
          <w:p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сумма налога, исчисленная как соответствующая налоговой ставке процентная дол</w:t>
            </w:r>
            <w:r>
              <w:rPr>
                <w:rFonts w:ascii="Times New Roman" w:hAnsi="Times New Roman"/>
                <w:sz w:val="28"/>
              </w:rPr>
              <w:t>я кадастровой стоимости объекта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</w:rPr>
              <w:t>сумма налога исходя из инвентаризационной стоимости;</w:t>
            </w:r>
          </w:p>
          <w:p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понижающий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коэффициент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(0,2 – применяется в первом году введения налога, 0,4 – во втором году введения налога, 0,6 – в третьем году, 0,8 – в четвертом году)</w:t>
            </w:r>
          </w:p>
          <w:p>
            <w:pPr>
              <w:pStyle w:val="Style_1"/>
              <w:ind/>
              <w:jc w:val="both"/>
              <w:rPr>
                <w:sz w:val="22"/>
              </w:rPr>
            </w:pPr>
          </w:p>
          <w:p>
            <w:pPr>
              <w:pStyle w:val="Style_1"/>
              <w:ind/>
              <w:jc w:val="both"/>
            </w:pPr>
            <w:r>
              <w:t xml:space="preserve">Для расчета налога на сайте ФНС России действует </w:t>
            </w:r>
            <w:r>
              <w:t>«</w:t>
            </w:r>
            <w:r>
              <w:t>Налоговый калькулятор</w:t>
            </w:r>
            <w:r>
              <w:t>»</w:t>
            </w:r>
            <w:r>
              <w:t>.</w:t>
            </w:r>
          </w:p>
        </w:tc>
      </w:tr>
      <w:t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602742" cy="753279"/>
                  <wp:docPr id="7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8" r:link=""/>
                          <a:stretch/>
                        </pic:blipFill>
                        <pic:spPr>
                          <a:xfrm>
                            <a:off x="0" y="0"/>
                            <a:ext cx="602742" cy="75327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  <w:ind w:right="505"/>
            </w:pPr>
            <w:r>
              <w:t>ОСНОВАНИЯ УПЛАТЫ НАЛОГА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  <w:ind/>
              <w:jc w:val="both"/>
            </w:pPr>
            <w:r>
              <w:t xml:space="preserve">Налог уплачивается на основании налогового уведомления, направляемого налогоплательщику налоговым органом. Налоговые уведомления размещаются в </w:t>
            </w:r>
            <w:r>
              <w:t>«</w:t>
            </w:r>
            <w:r>
              <w:t>Личном кабинете налогоплательщика</w:t>
            </w:r>
            <w:r>
              <w:t>»</w:t>
            </w:r>
            <w:r>
              <w:t xml:space="preserve"> </w:t>
            </w:r>
          </w:p>
        </w:tc>
      </w:tr>
      <w:tr>
        <w:trPr>
          <w:trHeight w:hRule="atLeast" w:val="914"/>
        </w:trP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679399" cy="61207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9" r:link=""/>
                          <a:stretch/>
                        </pic:blipFill>
                        <pic:spPr>
                          <a:xfrm>
                            <a:off x="0" y="0"/>
                            <a:ext cx="679399" cy="612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t>СРОКИ УПЛАТЫ НАЛОГА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  <w:ind/>
              <w:jc w:val="both"/>
            </w:pPr>
            <w:r>
              <w:t>Не позднее 1 декабря</w:t>
            </w:r>
            <w:r>
              <w:t xml:space="preserve"> года, следующего за истекшим налоговым периодом</w:t>
            </w:r>
            <w:r>
              <w:t>.</w:t>
            </w:r>
          </w:p>
        </w:tc>
      </w:tr>
      <w:tr>
        <w:trPr>
          <w:trHeight w:hRule="atLeast" w:val="3015"/>
        </w:trP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738835" cy="534009"/>
                  <wp:docPr id="9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10" r:link=""/>
                          <a:stretch/>
                        </pic:blipFill>
                        <pic:spPr>
                          <a:xfrm>
                            <a:off x="0" y="0"/>
                            <a:ext cx="738835" cy="5340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ind w:right="363"/>
            </w:pPr>
            <w:r>
              <w:rPr>
                <w:rFonts w:ascii="Times New Roman" w:hAnsi="Times New Roman"/>
                <w:sz w:val="28"/>
              </w:rPr>
              <w:t xml:space="preserve">ИНФОРМАЦИЯ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КАДАСТРОВОЙ СТОИМОСТ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ОБЪЕКТОВ НЕДВИЖИМОСТИ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4"/>
              <w:spacing w:after="0"/>
              <w:ind w:hanging="45" w:left="45" w:righ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Результаты утверждены постановлением Правительства Ростовской области от 27.12.2016 № 881. </w:t>
            </w:r>
            <w:r>
              <w:rPr>
                <w:sz w:val="28"/>
              </w:rPr>
              <w:t xml:space="preserve"> </w:t>
            </w:r>
          </w:p>
          <w:p>
            <w:pPr>
              <w:pStyle w:val="Style_4"/>
              <w:spacing w:after="0"/>
              <w:ind w:firstLine="0" w:left="0" w:right="1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>
              <w:rPr>
                <w:color w:val="000000"/>
                <w:sz w:val="28"/>
              </w:rPr>
              <w:t xml:space="preserve">на сайте </w:t>
            </w:r>
            <w:r>
              <w:rPr>
                <w:color w:val="000000"/>
                <w:sz w:val="28"/>
              </w:rPr>
              <w:t>Росреестра</w:t>
            </w:r>
            <w:r>
              <w:rPr>
                <w:color w:val="000000"/>
                <w:sz w:val="28"/>
              </w:rPr>
              <w:t xml:space="preserve"> по Ростовской области </w:t>
            </w:r>
            <w:hyperlink r:id="rId11">
              <w:r>
                <w:rPr>
                  <w:rStyle w:val="Style_5_ch"/>
                  <w:color w:val="000000"/>
                  <w:sz w:val="28"/>
                  <w:u w:val="none"/>
                </w:rPr>
                <w:t xml:space="preserve">«Кадастровая стоимость </w:t>
              </w:r>
              <w:r>
                <w:rPr>
                  <w:rStyle w:val="Style_5_ch"/>
                  <w:color w:val="000000"/>
                  <w:sz w:val="28"/>
                  <w:u w:val="none"/>
                </w:rPr>
                <w:t>онлайн</w:t>
              </w:r>
              <w:r>
                <w:rPr>
                  <w:rStyle w:val="Style_5_ch"/>
                  <w:color w:val="000000"/>
                  <w:sz w:val="28"/>
                  <w:u w:val="none"/>
                </w:rPr>
                <w:t>»</w:t>
              </w:r>
            </w:hyperlink>
            <w:r>
              <w:t>.</w:t>
            </w:r>
          </w:p>
        </w:tc>
      </w:tr>
      <w:tr>
        <w:trPr>
          <w:trHeight w:hRule="atLeast" w:val="4032"/>
        </w:trP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737946" cy="468173"/>
                  <wp:docPr id="10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12" r:link=""/>
                          <a:stretch/>
                        </pic:blipFill>
                        <pic:spPr>
                          <a:xfrm>
                            <a:off x="0" y="0"/>
                            <a:ext cx="737946" cy="4681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tabs>
                <w:tab w:leader="none" w:pos="3056" w:val="left"/>
                <w:tab w:leader="none" w:pos="3278" w:val="left"/>
              </w:tabs>
              <w:ind w:right="5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ПЕРЕСМОТРЕТЬ КАДАСТРОВУЮ </w:t>
            </w:r>
            <w:r>
              <w:rPr>
                <w:rFonts w:ascii="Times New Roman" w:hAnsi="Times New Roman"/>
                <w:sz w:val="28"/>
              </w:rPr>
              <w:t xml:space="preserve">СТОИМОСТЬ (ПО ЖЕЛАНИЮ </w:t>
            </w:r>
            <w:r>
              <w:rPr>
                <w:rFonts w:ascii="Times New Roman" w:hAnsi="Times New Roman"/>
                <w:sz w:val="28"/>
              </w:rPr>
              <w:t>ПЛАТЕЛЬЩИКА)</w:t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3"/>
              <w:spacing w:after="0" w:before="0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Оспаривание результатов кадастровой оценки может быть осуществлено двумя способами:</w:t>
            </w:r>
          </w:p>
          <w:p>
            <w:pPr>
              <w:pStyle w:val="Style_3"/>
              <w:spacing w:after="0" w:before="0"/>
              <w:ind w:firstLine="363" w:left="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 комиссии при территориальном органе </w:t>
            </w:r>
            <w:r>
              <w:rPr>
                <w:b w:val="0"/>
                <w:sz w:val="28"/>
              </w:rPr>
              <w:t>Росреестра</w:t>
            </w:r>
            <w:r>
              <w:rPr>
                <w:b w:val="0"/>
                <w:sz w:val="28"/>
              </w:rPr>
              <w:t>;</w:t>
            </w:r>
          </w:p>
          <w:p>
            <w:pPr>
              <w:pStyle w:val="Style_3"/>
              <w:spacing w:after="0" w:before="0"/>
              <w:ind w:firstLine="363" w:left="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подача иска в суд.</w:t>
            </w:r>
          </w:p>
          <w:p>
            <w:pPr>
              <w:pStyle w:val="Style_3"/>
              <w:spacing w:after="0" w:before="0"/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Решение комиссии </w:t>
            </w:r>
            <w:r>
              <w:rPr>
                <w:b w:val="0"/>
                <w:sz w:val="28"/>
              </w:rPr>
              <w:t>Росреестра</w:t>
            </w:r>
            <w:r>
              <w:rPr>
                <w:b w:val="0"/>
                <w:sz w:val="28"/>
              </w:rPr>
              <w:t xml:space="preserve"> может быть оспорено в судебном порядке. </w:t>
            </w:r>
          </w:p>
          <w:p>
            <w:pPr>
              <w:pStyle w:val="Style_4"/>
              <w:spacing w:after="0"/>
              <w:ind w:firstLine="0" w:left="0" w:right="1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r>
              <w:rPr>
                <w:sz w:val="28"/>
              </w:rPr>
              <w:t>Росреестра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3070"/>
        </w:trPr>
        <w:tc>
          <w:tcPr>
            <w:tcW w:type="dxa" w:w="1560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1"/>
            </w:pPr>
            <w:r>
              <w:drawing>
                <wp:inline>
                  <wp:extent cx="738835" cy="709574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 preferRelativeResize="true"/>
                        </pic:nvPicPr>
                        <pic:blipFill>
                          <a:blip r:embed="rId13" r:link=""/>
                          <a:stretch/>
                        </pic:blipFill>
                        <pic:spPr>
                          <a:xfrm>
                            <a:off x="0" y="0"/>
                            <a:ext cx="738835" cy="709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44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tabs>
                <w:tab w:leader="none" w:pos="2773" w:val="left"/>
              </w:tabs>
              <w:spacing w:after="0" w:line="240" w:lineRule="auto"/>
              <w:ind w:right="6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ОБЪЕКТ НЕДВИЖИМОСТИ ОТСУТСТВУЕТ В ПОСТАНОВЛЕНИИ ПРАВИТЕЛЬСТ</w:t>
            </w:r>
            <w:r>
              <w:rPr>
                <w:rFonts w:ascii="Times New Roman" w:hAnsi="Times New Roman"/>
                <w:sz w:val="28"/>
              </w:rPr>
              <w:t xml:space="preserve">ВА РОСТОВСКОЙ ОБЛАСТИ ОТ 27.12.2016 </w:t>
            </w:r>
            <w:r>
              <w:rPr>
                <w:rFonts w:ascii="Times New Roman" w:hAnsi="Times New Roman"/>
                <w:sz w:val="28"/>
              </w:rPr>
              <w:t>№ 881</w:t>
            </w:r>
          </w:p>
          <w:p>
            <w:pPr>
              <w:tabs>
                <w:tab w:leader="none" w:pos="239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5386"/>
            <w:tcBorders>
              <w:top w:sz="4" w:val="none"/>
              <w:left w:sz="4" w:val="none"/>
              <w:bottom w:sz="4" w:val="none"/>
              <w:right w:sz="4" w:val="none"/>
            </w:tcBorders>
          </w:tcPr>
          <w:p>
            <w:pPr>
              <w:pStyle w:val="Style_4"/>
              <w:spacing w:after="0"/>
              <w:ind w:firstLine="0" w:left="0" w:right="1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r>
              <w:rPr>
                <w:sz w:val="28"/>
              </w:rPr>
              <w:t>Росреестр</w:t>
            </w:r>
            <w:r>
              <w:rPr>
                <w:sz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>
      <w:pPr>
        <w:pStyle w:val="Style_1"/>
        <w:ind/>
        <w:jc w:val="both"/>
      </w:pPr>
      <w:r>
        <w:t xml:space="preserve">Информация о результатах государственной кадастровой оценки объектов недвижимости, в форме вопросов и ответов расположена на </w:t>
      </w:r>
      <w:r>
        <w:t>официальном сайте Правительства Ростовской области в подразделе «Кадастровая оценка» раздела «Экономика»</w:t>
      </w:r>
      <w:r>
        <w:t>.</w:t>
      </w:r>
    </w:p>
    <w:sectPr>
      <w:pgSz w:h="16838" w:w="11906"/>
      <w:pgMar w:bottom="284" w:footer="709" w:gutter="0" w:header="709" w:left="1134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style w:default="1" w:styleId="Style_6" w:type="paragraph">
    <w:name w:val="Normal"/>
    <w:link w:val="Style_6_ch"/>
  </w:style>
  <w:style w:default="1" w:styleId="Style_6_ch" w:type="character">
    <w:name w:val="Normal"/>
    <w:link w:val="Style_6"/>
  </w:style>
  <w:style w:styleId="Style_3" w:type="paragraph">
    <w:name w:val="heading 2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b w:val="1"/>
      <w:sz w:val="36"/>
    </w:rPr>
  </w:style>
  <w:style w:styleId="Style_3_ch" w:type="character">
    <w:name w:val="heading 2"/>
    <w:basedOn w:val="Style_6_ch"/>
    <w:link w:val="Style_3"/>
    <w:rPr>
      <w:rFonts w:ascii="Times New Roman" w:hAnsi="Times New Roman"/>
      <w:b w:val="1"/>
      <w:sz w:val="3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ConsPlusNormal"/>
    <w:link w:val="Style_1"/>
    <w:rPr>
      <w:rFonts w:ascii="Times New Roman" w:hAnsi="Times New Roman"/>
      <w:sz w:val="28"/>
    </w:rPr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8_ch" w:type="character">
    <w:name w:val="ConsPlusTitle"/>
    <w:link w:val="Style_8"/>
    <w:rPr>
      <w:rFonts w:ascii="Times New Roman" w:hAnsi="Times New Roman"/>
      <w:b w:val="1"/>
      <w:sz w:val="28"/>
    </w:rPr>
  </w:style>
  <w:style w:styleId="Style_9" w:type="paragraph">
    <w:name w:val="ConsPlusTitlePage"/>
    <w:link w:val="Style_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9_ch" w:type="character">
    <w:name w:val="ConsPlusTitlePage"/>
    <w:link w:val="Style_9"/>
    <w:rPr>
      <w:rFonts w:ascii="Tahoma" w:hAnsi="Tahoma"/>
      <w:sz w:val="20"/>
    </w:rPr>
  </w:style>
  <w:style w:styleId="Style_5" w:type="paragraph">
    <w:name w:val="Hyperlink"/>
    <w:basedOn w:val="Style_7"/>
    <w:link w:val="Style_5_ch"/>
    <w:rPr>
      <w:color w:themeColor="hyperlink" w:val="000000"/>
      <w:u w:val="single"/>
    </w:rPr>
  </w:style>
  <w:style w:styleId="Style_5_ch" w:type="character">
    <w:name w:val="Hyperlink"/>
    <w:basedOn w:val="Style_7_ch"/>
    <w:link w:val="Style_5"/>
    <w:rPr>
      <w:color w:themeColor="hyperlink" w:val="000000"/>
      <w:u w:val="single"/>
    </w:rPr>
  </w:style>
  <w:style w:styleId="Style_4" w:type="paragraph">
    <w:name w:val="Normal (Web)"/>
    <w:basedOn w:val="Style_6"/>
    <w:link w:val="Style_4_ch"/>
    <w:pPr>
      <w:spacing w:after="125" w:line="240" w:lineRule="auto"/>
      <w:ind w:firstLine="0" w:left="125" w:right="125"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0" w:type="paragraph">
    <w:name w:val="apple-converted-space"/>
    <w:basedOn w:val="Style_7"/>
    <w:link w:val="Style_10_ch"/>
  </w:style>
  <w:style w:styleId="Style_10_ch" w:type="character">
    <w:name w:val="apple-converted-space"/>
    <w:basedOn w:val="Style_7_ch"/>
    <w:link w:val="Style_10"/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Heading 1"/>
    <w:link w:val="Style_12_ch"/>
    <w:pPr>
      <w:spacing w:after="120" w:before="120"/>
      <w:ind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eading 3"/>
    <w:link w:val="Style_13_ch"/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Heading 4"/>
    <w:link w:val="Style_14_ch"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4_ch" w:type="character">
    <w:name w:val="Heading 4"/>
    <w:link w:val="Style_14"/>
    <w:rPr>
      <w:rFonts w:ascii="XO Thames" w:hAnsi="XO Thames"/>
      <w:b w:val="1"/>
      <w:color w:val="595959"/>
      <w:sz w:val="26"/>
    </w:rPr>
  </w:style>
  <w:style w:styleId="Style_15" w:type="paragraph">
    <w:name w:val="Heading 5"/>
    <w:link w:val="Style_15_ch"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Title"/>
    <w:link w:val="Style_16_ch"/>
    <w:rPr>
      <w:rFonts w:ascii="XO Thames" w:hAnsi="XO Thames"/>
      <w:b w:val="1"/>
      <w:sz w:val="52"/>
    </w:rPr>
  </w:style>
  <w:style w:styleId="Style_16_ch" w:type="character">
    <w:name w:val="Title"/>
    <w:link w:val="Style_16"/>
    <w:rPr>
      <w:rFonts w:ascii="XO Thames" w:hAnsi="XO Thames"/>
      <w:b w:val="1"/>
      <w:sz w:val="52"/>
    </w:rPr>
  </w:style>
  <w:style w:styleId="Style_17" w:type="paragraph">
    <w:name w:val="Subtitle"/>
    <w:basedOn w:val="Style_6"/>
    <w:link w:val="Style_17_ch"/>
    <w:rPr>
      <w:rFonts w:ascii="XO Thames" w:hAnsi="XO Thames"/>
      <w:i w:val="1"/>
      <w:color w:val="616161"/>
    </w:rPr>
  </w:style>
  <w:style w:styleId="Style_17_ch" w:type="character">
    <w:name w:val="Subtitle"/>
    <w:basedOn w:val="Style_6_ch"/>
    <w:link w:val="Style_17"/>
    <w:rPr>
      <w:rFonts w:ascii="XO Thames" w:hAnsi="XO Thames"/>
      <w:i w:val="1"/>
      <w:color w:val="61616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Footnote"/>
    <w:link w:val="Style_19_ch"/>
    <w:rPr>
      <w:rFonts w:ascii="XO Thames" w:hAnsi="XO Thames"/>
      <w:color w:val="757575"/>
      <w:sz w:val="20"/>
    </w:rPr>
  </w:style>
  <w:style w:styleId="Style_19_ch" w:type="character">
    <w:name w:val="Footnote"/>
    <w:link w:val="Style_19"/>
    <w:rPr>
      <w:rFonts w:ascii="XO Thames" w:hAnsi="XO Thames"/>
      <w:color w:val="757575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2" Target="media/10.png" Type="http://schemas.openxmlformats.org/officeDocument/2006/relationships/image"/>
  <Relationship Id="rId11" Target="http://rosreestr-online.com/kadastrovaya-stoimost" TargetMode="External" Type="http://schemas.openxmlformats.org/officeDocument/2006/relationships/hyperlink"/>
  <Relationship Id="rId16" Target="styles.xml" Type="http://schemas.openxmlformats.org/officeDocument/2006/relationships/styles"/>
  <Relationship Id="rId1" Target="media/1.png" Type="http://schemas.openxmlformats.org/officeDocument/2006/relationships/image"/>
  <Relationship Id="rId4" Target="media/4.png" Type="http://schemas.openxmlformats.org/officeDocument/2006/relationships/image"/>
  <Relationship Id="rId7" Target="media/6.png" Type="http://schemas.openxmlformats.org/officeDocument/2006/relationships/image"/>
  <Relationship Id="rId2" Target="media/2.png" Type="http://schemas.openxmlformats.org/officeDocument/2006/relationships/image"/>
  <Relationship Id="rId18" Target="webSettings.xml" Type="http://schemas.openxmlformats.org/officeDocument/2006/relationships/webSettings"/>
  <Relationship Id="rId3" Target="media/3.png" Type="http://schemas.openxmlformats.org/officeDocument/2006/relationships/image"/>
  <Relationship Id="rId5" Target="media/5.png" Type="http://schemas.openxmlformats.org/officeDocument/2006/relationships/image"/>
  <Relationship Id="rId13" Target="media/11.png" Type="http://schemas.openxmlformats.org/officeDocument/2006/relationships/image"/>
  <Relationship Id="rId6" Target="consultantplus://offline/ref=B38582C89143BC9616A09BA45EE25B96C683940CD7214FC50C78462531F52DI" TargetMode="External" Type="http://schemas.openxmlformats.org/officeDocument/2006/relationships/hyperlink"/>
  <Relationship Id="rId8" Target="media/7.png" Type="http://schemas.openxmlformats.org/officeDocument/2006/relationships/image"/>
  <Relationship Id="rId14" Target="fontTable.xml" Type="http://schemas.openxmlformats.org/officeDocument/2006/relationships/fontTable"/>
  <Relationship Id="rId9" Target="media/8.png" Type="http://schemas.openxmlformats.org/officeDocument/2006/relationships/image"/>
  <Relationship Id="rId10" Target="media/9.png" Type="http://schemas.openxmlformats.org/officeDocument/2006/relationships/imag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