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413385" cy="747522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>
                      <a:off x="0" y="0"/>
                      <a:ext cx="413385" cy="7475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/>
        <w:jc w:val="center"/>
        <w:rPr>
          <w:b w:val="1"/>
        </w:rPr>
      </w:pPr>
    </w:p>
    <w:p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>
      <w:pPr>
        <w:ind/>
        <w:jc w:val="center"/>
        <w:rPr>
          <w:sz w:val="28"/>
        </w:rPr>
      </w:pPr>
      <w:r>
        <w:rPr>
          <w:sz w:val="28"/>
        </w:rPr>
        <w:t>ТАЦИНСКИЙ РАЙОН</w:t>
      </w:r>
    </w:p>
    <w:p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ind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>
      <w:pPr>
        <w:ind/>
        <w:jc w:val="center"/>
        <w:rPr>
          <w:b w:val="1"/>
          <w:sz w:val="26"/>
        </w:rPr>
      </w:pPr>
      <w:r>
        <w:rPr>
          <w:b w:val="1"/>
          <w:sz w:val="28"/>
        </w:rPr>
        <w:t>АДМИНИСТРАЦИЯ  УГЛЕГОРСКОГО  СЕЛЬСКОГО  ПОСЕЛЕНИЯ</w:t>
      </w:r>
    </w:p>
    <w:p>
      <w:pPr>
        <w:ind/>
        <w:jc w:val="center"/>
        <w:rPr>
          <w:b w:val="1"/>
          <w:sz w:val="26"/>
        </w:rPr>
      </w:pPr>
    </w:p>
    <w:p>
      <w:pPr>
        <w:tabs>
          <w:tab w:leader="none" w:pos="4885" w:val="center"/>
          <w:tab w:leader="none" w:pos="8400" w:val="left"/>
        </w:tabs>
        <w:ind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ПОСТАНОВЛЕНИЕ</w:t>
      </w:r>
      <w:r>
        <w:rPr>
          <w:sz w:val="28"/>
        </w:rPr>
        <w:tab/>
      </w:r>
    </w:p>
    <w:p>
      <w:pPr>
        <w:ind/>
        <w:jc w:val="both"/>
      </w:pPr>
    </w:p>
    <w:p>
      <w:pPr>
        <w:ind/>
        <w:jc w:val="both"/>
      </w:pPr>
    </w:p>
    <w:p>
      <w:pPr>
        <w:ind/>
        <w:jc w:val="center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 xml:space="preserve">мая </w:t>
      </w:r>
      <w:r>
        <w:rPr>
          <w:sz w:val="28"/>
        </w:rPr>
        <w:t>201</w:t>
      </w:r>
      <w:r>
        <w:rPr>
          <w:sz w:val="28"/>
        </w:rPr>
        <w:t>7 г.</w:t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>№ 43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         п.</w:t>
      </w:r>
      <w:r>
        <w:rPr>
          <w:sz w:val="28"/>
        </w:rPr>
        <w:t xml:space="preserve"> </w:t>
      </w:r>
      <w:r>
        <w:rPr>
          <w:sz w:val="28"/>
        </w:rPr>
        <w:t>Углего</w:t>
      </w:r>
      <w:r>
        <w:rPr>
          <w:sz w:val="28"/>
        </w:rPr>
        <w:t>р</w:t>
      </w:r>
      <w:r>
        <w:rPr>
          <w:sz w:val="28"/>
        </w:rPr>
        <w:t>ский</w:t>
      </w:r>
    </w:p>
    <w:p>
      <w:pPr>
        <w:ind/>
        <w:jc w:val="center"/>
        <w:rPr>
          <w:sz w:val="26"/>
        </w:rPr>
      </w:pPr>
    </w:p>
    <w:p>
      <w:pPr>
        <w:ind/>
        <w:jc w:val="both"/>
        <w:rPr>
          <w:b w:val="1"/>
          <w:sz w:val="28"/>
        </w:rPr>
      </w:pPr>
      <w:r>
        <w:rPr>
          <w:sz w:val="26"/>
        </w:rPr>
        <w:tab/>
      </w:r>
      <w:r>
        <w:rPr>
          <w:b w:val="1"/>
          <w:sz w:val="28"/>
        </w:rPr>
        <w:t>Об утверждении результатов</w:t>
      </w:r>
      <w:r>
        <w:rPr>
          <w:b w:val="1"/>
          <w:sz w:val="28"/>
        </w:rPr>
        <w:t xml:space="preserve"> рассмотрения</w:t>
      </w:r>
    </w:p>
    <w:p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оценки эффективности налоговых льгот и ставок, </w:t>
      </w:r>
    </w:p>
    <w:p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установленных </w:t>
      </w:r>
      <w:r>
        <w:rPr>
          <w:b w:val="1"/>
          <w:sz w:val="28"/>
        </w:rPr>
        <w:t>муниципальным образованием</w:t>
      </w:r>
      <w:r>
        <w:rPr>
          <w:b w:val="1"/>
          <w:sz w:val="28"/>
        </w:rPr>
        <w:t xml:space="preserve"> </w:t>
      </w:r>
    </w:p>
    <w:p>
      <w:pPr>
        <w:ind/>
        <w:jc w:val="both"/>
        <w:rPr>
          <w:sz w:val="28"/>
        </w:rPr>
      </w:pPr>
      <w:r>
        <w:rPr>
          <w:b w:val="1"/>
          <w:sz w:val="28"/>
        </w:rPr>
        <w:t>«Углегорское сельское поселение»</w:t>
      </w:r>
    </w:p>
    <w:p>
      <w:pPr>
        <w:ind/>
        <w:jc w:val="both"/>
        <w:rPr>
          <w:sz w:val="28"/>
        </w:rPr>
      </w:pPr>
    </w:p>
    <w:p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</w:t>
      </w:r>
      <w:r>
        <w:rPr>
          <w:rFonts w:ascii="Times New Roman" w:hAnsi="Times New Roman"/>
          <w:sz w:val="28"/>
        </w:rPr>
        <w:t>Углегорском с</w:t>
      </w:r>
      <w:r>
        <w:rPr>
          <w:rFonts w:ascii="Times New Roman" w:hAnsi="Times New Roman"/>
          <w:sz w:val="28"/>
        </w:rPr>
        <w:t xml:space="preserve">ельском поселении и в соответствии с Распоряжением Правительства Российской Федерации от 08.08.2009 №1123-рс, Постановлением Администрации </w:t>
      </w:r>
      <w:r>
        <w:rPr>
          <w:rFonts w:ascii="Times New Roman" w:hAnsi="Times New Roman"/>
          <w:sz w:val="28"/>
        </w:rPr>
        <w:t xml:space="preserve">Углегорского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5.04.2011г. №</w:t>
      </w:r>
      <w:r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</w:rPr>
        <w:t xml:space="preserve"> «Об утверждении Порядка оценки бюджетной и социальной эффективности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тавляемых (планируемых к предоставлению) налоговых льгот»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</w:t>
      </w:r>
    </w:p>
    <w:p>
      <w:pPr>
        <w:ind/>
        <w:jc w:val="both"/>
      </w:pPr>
    </w:p>
    <w:p>
      <w:pPr>
        <w:ind/>
        <w:jc w:val="center"/>
      </w:pPr>
      <w:r>
        <w:t>ПОСТАНОВЛЯЮ:</w:t>
      </w:r>
    </w:p>
    <w:p>
      <w:pPr>
        <w:ind/>
        <w:jc w:val="center"/>
      </w:pPr>
    </w:p>
    <w:p>
      <w:pPr>
        <w:pStyle w:val="Style_3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Утвердить результаты </w:t>
      </w:r>
      <w:r>
        <w:rPr>
          <w:rFonts w:ascii="Times New Roman" w:hAnsi="Times New Roman"/>
          <w:b w:val="0"/>
          <w:sz w:val="28"/>
        </w:rPr>
        <w:t xml:space="preserve">рассмотрения </w:t>
      </w:r>
      <w:r>
        <w:rPr>
          <w:rFonts w:ascii="Times New Roman" w:hAnsi="Times New Roman"/>
          <w:b w:val="0"/>
          <w:sz w:val="28"/>
        </w:rPr>
        <w:t xml:space="preserve">оценки эффективности налоговых льгот и ставок, установленных </w:t>
      </w:r>
      <w:r>
        <w:rPr>
          <w:rFonts w:ascii="Times New Roman" w:hAnsi="Times New Roman"/>
          <w:b w:val="0"/>
          <w:sz w:val="28"/>
        </w:rPr>
        <w:t xml:space="preserve">муниципальным образованием «Углегорское </w:t>
      </w:r>
      <w:r>
        <w:rPr>
          <w:rFonts w:ascii="Times New Roman" w:hAnsi="Times New Roman"/>
          <w:b w:val="0"/>
          <w:sz w:val="28"/>
        </w:rPr>
        <w:t>сельско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поселени</w:t>
      </w:r>
      <w:r>
        <w:rPr>
          <w:rFonts w:ascii="Times New Roman" w:hAnsi="Times New Roman"/>
          <w:b w:val="0"/>
          <w:sz w:val="28"/>
        </w:rPr>
        <w:t xml:space="preserve">е» по земельному налогу </w:t>
      </w:r>
      <w:r>
        <w:rPr>
          <w:rFonts w:ascii="Times New Roman" w:hAnsi="Times New Roman"/>
          <w:b w:val="0"/>
          <w:sz w:val="28"/>
        </w:rPr>
        <w:t>согласно приложению</w:t>
      </w:r>
      <w:r>
        <w:rPr>
          <w:rFonts w:ascii="Times New Roman" w:hAnsi="Times New Roman"/>
          <w:b w:val="0"/>
          <w:sz w:val="28"/>
        </w:rPr>
        <w:t xml:space="preserve"> №1</w:t>
      </w:r>
      <w:r>
        <w:rPr>
          <w:rFonts w:ascii="Times New Roman" w:hAnsi="Times New Roman"/>
          <w:b w:val="0"/>
          <w:sz w:val="28"/>
        </w:rPr>
        <w:t xml:space="preserve"> к настоящему постановлению.</w:t>
      </w:r>
    </w:p>
    <w:p>
      <w:pPr>
        <w:pStyle w:val="Style_3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Утвердить результаты </w:t>
      </w:r>
      <w:r>
        <w:rPr>
          <w:rFonts w:ascii="Times New Roman" w:hAnsi="Times New Roman"/>
          <w:b w:val="0"/>
          <w:sz w:val="28"/>
        </w:rPr>
        <w:t xml:space="preserve">рассмотрения </w:t>
      </w:r>
      <w:r>
        <w:rPr>
          <w:rFonts w:ascii="Times New Roman" w:hAnsi="Times New Roman"/>
          <w:b w:val="0"/>
          <w:sz w:val="28"/>
        </w:rPr>
        <w:t xml:space="preserve">оценки эффективности налоговых льгот и ставок, установленных </w:t>
      </w:r>
      <w:r>
        <w:rPr>
          <w:rFonts w:ascii="Times New Roman" w:hAnsi="Times New Roman"/>
          <w:b w:val="0"/>
          <w:sz w:val="28"/>
        </w:rPr>
        <w:t xml:space="preserve">муниципальным образованием «Углегорское </w:t>
      </w:r>
      <w:r>
        <w:rPr>
          <w:rFonts w:ascii="Times New Roman" w:hAnsi="Times New Roman"/>
          <w:b w:val="0"/>
          <w:sz w:val="28"/>
        </w:rPr>
        <w:t>сельско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поселени</w:t>
      </w:r>
      <w:r>
        <w:rPr>
          <w:rFonts w:ascii="Times New Roman" w:hAnsi="Times New Roman"/>
          <w:b w:val="0"/>
          <w:sz w:val="28"/>
        </w:rPr>
        <w:t xml:space="preserve">е» по налогу на имущество физических лиц </w:t>
      </w:r>
      <w:r>
        <w:rPr>
          <w:rFonts w:ascii="Times New Roman" w:hAnsi="Times New Roman"/>
          <w:b w:val="0"/>
          <w:sz w:val="28"/>
        </w:rPr>
        <w:t>согласно приложению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постановлению.</w:t>
      </w:r>
    </w:p>
    <w:p>
      <w:pPr>
        <w:ind/>
        <w:jc w:val="both"/>
        <w:rPr>
          <w:sz w:val="28"/>
        </w:rPr>
      </w:pPr>
      <w:r>
        <w:rPr>
          <w:sz w:val="28"/>
        </w:rPr>
        <w:t xml:space="preserve">       3.</w:t>
      </w:r>
      <w:r>
        <w:rPr>
          <w:sz w:val="28"/>
        </w:rPr>
        <w:t xml:space="preserve">  </w:t>
      </w:r>
      <w:r>
        <w:rPr>
          <w:sz w:val="28"/>
        </w:rPr>
        <w:t>Настоящее постановление вступает в силу с момента  его подписания.</w:t>
      </w:r>
    </w:p>
    <w:p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4.</w:t>
      </w:r>
      <w:r>
        <w:rPr>
          <w:sz w:val="28"/>
        </w:rPr>
        <w:t xml:space="preserve">  </w:t>
      </w:r>
      <w:r>
        <w:rPr>
          <w:sz w:val="28"/>
        </w:rPr>
        <w:t>Контроль за исполнением настоящего постановления оставляю за собой.</w:t>
      </w:r>
    </w:p>
    <w:p>
      <w:pPr>
        <w:spacing w:line="276" w:lineRule="auto"/>
        <w:ind/>
        <w:jc w:val="both"/>
        <w:rPr>
          <w:sz w:val="26"/>
        </w:rPr>
      </w:pPr>
    </w:p>
    <w:p>
      <w:pPr>
        <w:spacing w:line="276" w:lineRule="auto"/>
        <w:ind/>
        <w:jc w:val="both"/>
        <w:rPr>
          <w:sz w:val="26"/>
        </w:rPr>
      </w:pPr>
    </w:p>
    <w:p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Углегорского</w:t>
      </w:r>
    </w:p>
    <w:p>
      <w:pPr>
        <w:spacing w:line="276" w:lineRule="auto"/>
        <w:ind/>
        <w:jc w:val="both"/>
        <w:rPr>
          <w:sz w:val="28"/>
        </w:rPr>
      </w:pPr>
      <w:r>
        <w:rPr>
          <w:sz w:val="28"/>
        </w:rPr>
        <w:t>сельско</w:t>
      </w:r>
      <w:r>
        <w:rPr>
          <w:sz w:val="28"/>
        </w:rPr>
        <w:t>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  Л.С. Бабич</w:t>
      </w:r>
    </w:p>
    <w:p>
      <w:pPr>
        <w:ind/>
        <w:jc w:val="center"/>
        <w:rPr>
          <w:sz w:val="28"/>
        </w:rPr>
      </w:pPr>
    </w:p>
    <w:p>
      <w:pPr>
        <w:ind/>
        <w:jc w:val="right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</w:rPr>
        <w:t>1</w:t>
      </w:r>
    </w:p>
    <w:p>
      <w:pPr>
        <w:ind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ind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Углегорского</w:t>
      </w:r>
      <w:r>
        <w:rPr>
          <w:color w:val="000000"/>
        </w:rPr>
        <w:t xml:space="preserve"> сельского поселения</w:t>
      </w:r>
    </w:p>
    <w:p>
      <w:pPr>
        <w:ind/>
        <w:jc w:val="right"/>
        <w:rPr>
          <w:color w:val="000000"/>
        </w:rPr>
      </w:pPr>
      <w:r>
        <w:rPr>
          <w:color w:val="000000"/>
        </w:rPr>
        <w:t xml:space="preserve"> от </w:t>
      </w:r>
      <w:r>
        <w:rPr>
          <w:color w:val="000000"/>
        </w:rPr>
        <w:t>10.05.</w:t>
      </w:r>
      <w:r>
        <w:rPr>
          <w:color w:val="000000"/>
        </w:rPr>
        <w:t>201</w:t>
      </w:r>
      <w:r>
        <w:rPr>
          <w:color w:val="000000"/>
        </w:rPr>
        <w:t xml:space="preserve">7 </w:t>
      </w:r>
      <w:r>
        <w:rPr>
          <w:color w:val="000000"/>
        </w:rPr>
        <w:t xml:space="preserve">г. № </w:t>
      </w:r>
      <w:r>
        <w:rPr>
          <w:color w:val="000000"/>
        </w:rPr>
        <w:t>43</w:t>
      </w:r>
    </w:p>
    <w:p>
      <w:pPr>
        <w:ind/>
        <w:jc w:val="right"/>
        <w:rPr>
          <w:color w:val="000000"/>
        </w:rPr>
      </w:pPr>
    </w:p>
    <w:p>
      <w:pPr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езультат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рассмотрения оценки эффективности налоговых</w:t>
      </w:r>
      <w:r>
        <w:rPr>
          <w:b w:val="1"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 w:val="1"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</w:t>
      </w:r>
      <w:r>
        <w:rPr>
          <w:color w:val="000000"/>
          <w:sz w:val="28"/>
        </w:rPr>
        <w:t xml:space="preserve"> образованием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«Углегорское сельское поселение»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 земельному налогу</w:t>
      </w:r>
    </w:p>
    <w:p>
      <w:pPr>
        <w:ind/>
        <w:jc w:val="center"/>
        <w:rPr>
          <w:b w:val="1"/>
          <w:color w:val="000000"/>
          <w:sz w:val="28"/>
        </w:rPr>
      </w:pPr>
    </w:p>
    <w:p>
      <w:pPr>
        <w:spacing w:line="322" w:lineRule="exact"/>
        <w:ind w:firstLine="533" w:left="5" w:right="10"/>
        <w:jc w:val="both"/>
      </w:pPr>
      <w:r>
        <w:rPr>
          <w:sz w:val="28"/>
        </w:rPr>
        <w:t>В целях обеспечения достижения экономического и (или) социального эффе</w:t>
      </w:r>
      <w:r>
        <w:rPr>
          <w:sz w:val="28"/>
        </w:rPr>
        <w:t>к</w:t>
      </w:r>
      <w:r>
        <w:rPr>
          <w:sz w:val="28"/>
        </w:rPr>
        <w:t xml:space="preserve">та от предоставления отдельным категориям налогоплательщиков </w:t>
      </w:r>
      <w:r>
        <w:rPr>
          <w:spacing w:val="-1"/>
          <w:sz w:val="28"/>
        </w:rPr>
        <w:t>налоговых льгот по плат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жам в бюджет </w:t>
      </w:r>
      <w:r>
        <w:rPr>
          <w:spacing w:val="-1"/>
          <w:sz w:val="28"/>
        </w:rPr>
        <w:t>Углегорского</w:t>
      </w:r>
      <w:r>
        <w:rPr>
          <w:spacing w:val="-1"/>
          <w:sz w:val="28"/>
        </w:rPr>
        <w:t xml:space="preserve"> 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принято </w:t>
      </w:r>
      <w:r>
        <w:rPr>
          <w:sz w:val="28"/>
        </w:rPr>
        <w:t>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Углегорского сельского поселения от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5.04.2011г №51</w:t>
      </w:r>
      <w:r>
        <w:rPr>
          <w:sz w:val="28"/>
        </w:rPr>
        <w:t xml:space="preserve"> «Об   утверждении Порядка оценки </w:t>
      </w:r>
      <w:r>
        <w:rPr>
          <w:spacing w:val="-2"/>
          <w:sz w:val="28"/>
        </w:rPr>
        <w:t>бюджетной и социальной эффектив</w:t>
      </w:r>
      <w:r>
        <w:rPr>
          <w:sz w:val="28"/>
        </w:rPr>
        <w:t>ности предоставляемых (планируе</w:t>
      </w:r>
      <w:r>
        <w:rPr>
          <w:sz w:val="28"/>
        </w:rPr>
        <w:t>мых к предоставлению) н</w:t>
      </w:r>
      <w:r>
        <w:rPr>
          <w:sz w:val="28"/>
        </w:rPr>
        <w:t>а</w:t>
      </w:r>
      <w:r>
        <w:rPr>
          <w:sz w:val="28"/>
        </w:rPr>
        <w:t>логовых льгот</w:t>
      </w:r>
      <w:r>
        <w:rPr>
          <w:sz w:val="28"/>
        </w:rPr>
        <w:t>».</w:t>
      </w:r>
      <w:r>
        <w:rPr>
          <w:sz w:val="28"/>
        </w:rPr>
        <w:t xml:space="preserve"> </w:t>
      </w:r>
    </w:p>
    <w:p>
      <w:pPr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</w:t>
      </w:r>
      <w:r>
        <w:rPr>
          <w:sz w:val="28"/>
        </w:rPr>
        <w:t>о</w:t>
      </w:r>
      <w:r>
        <w:rPr>
          <w:sz w:val="28"/>
        </w:rPr>
        <w:t>вых льгот. Оценка бюджетной и социальной эффективности предоставляемых</w:t>
      </w:r>
      <w:r>
        <w:rPr>
          <w:sz w:val="28"/>
        </w:rPr>
        <w:t xml:space="preserve">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>
      <w:pPr>
        <w:ind w:firstLine="567" w:left="0"/>
        <w:jc w:val="both"/>
        <w:rPr>
          <w:sz w:val="28"/>
        </w:rPr>
      </w:pPr>
      <w:r>
        <w:rPr>
          <w:sz w:val="28"/>
        </w:rPr>
        <w:t>Основанием предоставления налоговых льгот в 201</w:t>
      </w:r>
      <w:r>
        <w:rPr>
          <w:sz w:val="28"/>
        </w:rPr>
        <w:t xml:space="preserve">6 г. по земельному налогу является пункт 4 решения Собрания депутатов </w:t>
      </w:r>
      <w:r>
        <w:rPr>
          <w:sz w:val="28"/>
        </w:rPr>
        <w:t xml:space="preserve">Углегорского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18.</w:t>
      </w:r>
      <w:r>
        <w:rPr>
          <w:sz w:val="28"/>
        </w:rPr>
        <w:t>09.201</w:t>
      </w:r>
      <w:r>
        <w:rPr>
          <w:sz w:val="28"/>
        </w:rPr>
        <w:t xml:space="preserve">5 </w:t>
      </w:r>
      <w:r>
        <w:rPr>
          <w:sz w:val="28"/>
        </w:rPr>
        <w:t>г. №</w:t>
      </w:r>
      <w:r>
        <w:rPr>
          <w:sz w:val="28"/>
        </w:rPr>
        <w:t xml:space="preserve">96 </w:t>
      </w:r>
      <w:r>
        <w:rPr>
          <w:sz w:val="28"/>
        </w:rPr>
        <w:t>«О земельном налоге»</w:t>
      </w:r>
      <w:r>
        <w:rPr>
          <w:sz w:val="28"/>
        </w:rPr>
        <w:t xml:space="preserve"> с учетом изменений </w:t>
      </w:r>
      <w:r>
        <w:rPr>
          <w:sz w:val="28"/>
        </w:rPr>
        <w:t xml:space="preserve">и дополнений </w:t>
      </w:r>
      <w:r>
        <w:rPr>
          <w:sz w:val="28"/>
        </w:rPr>
        <w:t xml:space="preserve">в виде полного освобождения от налогообложения отдельных </w:t>
      </w:r>
      <w:r>
        <w:rPr>
          <w:sz w:val="28"/>
        </w:rPr>
        <w:t>категорий налогоплательщиков.</w:t>
      </w:r>
    </w:p>
    <w:p>
      <w:pPr>
        <w:pStyle w:val="Style_4"/>
        <w:spacing w:after="0" w:before="0"/>
        <w:ind w:firstLine="540" w:left="0"/>
        <w:rPr>
          <w:rFonts w:ascii="Times New Roman" w:hAnsi="Times New Roman"/>
        </w:rPr>
      </w:pPr>
      <w:r>
        <w:rPr>
          <w:rFonts w:ascii="Times New Roman" w:hAnsi="Times New Roman"/>
        </w:rPr>
        <w:t>Общая сумма предоставленных в 201</w:t>
      </w:r>
      <w:r>
        <w:rPr>
          <w:rFonts w:ascii="Times New Roman" w:hAnsi="Times New Roman"/>
        </w:rPr>
        <w:t xml:space="preserve">6 году льгот по земельному налогу  составила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тыс. рублей. </w:t>
      </w:r>
    </w:p>
    <w:p>
      <w:pPr>
        <w:pStyle w:val="Style_4"/>
        <w:spacing w:after="0" w:before="0"/>
        <w:ind w:firstLine="540" w:left="0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льготах  в виде полного освобождения  от уплаты земельного налога представлена в таблице №1.</w:t>
      </w:r>
    </w:p>
    <w:p>
      <w:pPr>
        <w:pStyle w:val="Style_5"/>
        <w:tabs>
          <w:tab w:leader="none" w:pos="1305" w:val="left"/>
        </w:tabs>
        <w:spacing w:line="240" w:lineRule="auto"/>
        <w:ind w:firstLine="0" w:left="0"/>
        <w:jc w:val="right"/>
      </w:pPr>
      <w:r>
        <w:t>Таблица №1.</w:t>
      </w:r>
    </w:p>
    <w:tbl>
      <w:tblPr>
        <w:tblStyle w:val="Style_6"/>
        <w:tblInd w:type="dxa" w:w="-601"/>
      </w:tblPr>
      <w:tblGrid>
        <w:gridCol w:w="739"/>
        <w:gridCol w:w="709"/>
        <w:gridCol w:w="992"/>
        <w:gridCol w:w="4110"/>
        <w:gridCol w:w="851"/>
        <w:gridCol w:w="850"/>
        <w:gridCol w:w="709"/>
        <w:gridCol w:w="963"/>
        <w:gridCol w:w="1276"/>
      </w:tblGrid>
      <w:tr>
        <w:trPr>
          <w:trHeight w:hRule="atLeast" w:val="305"/>
        </w:trPr>
        <w:tc>
          <w:tcPr>
            <w:tcW w:type="dxa" w:w="739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Наименование муниципального района</w:t>
            </w:r>
          </w:p>
        </w:tc>
        <w:tc>
          <w:tcPr>
            <w:tcW w:type="dxa" w:w="709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Наименование поселения</w:t>
            </w:r>
          </w:p>
        </w:tc>
        <w:tc>
          <w:tcPr>
            <w:tcW w:type="dxa" w:w="992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type="dxa" w:w="8759"/>
            <w:gridSpan w:val="6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по итогам 201</w:t>
            </w:r>
            <w:r>
              <w:rPr>
                <w:color w:val="000000"/>
              </w:rPr>
              <w:t>6 года</w:t>
            </w:r>
          </w:p>
        </w:tc>
      </w:tr>
      <w:tr>
        <w:trPr>
          <w:trHeight w:hRule="atLeast" w:val="751"/>
        </w:trPr>
        <w:tc>
          <w:tcPr>
            <w:tcW w:type="dxa" w:w="73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4110"/>
            <w:vMerge w:val="restart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</w:t>
            </w:r>
            <w:r>
              <w:rPr>
                <w:color w:val="000000"/>
              </w:rPr>
              <w:t>6 году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пониженной ставки, полное или частичное освобождение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предоставленных льгот и ставок</w:t>
            </w:r>
          </w:p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type="dxa" w:w="29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 результатах произведенной в 201</w:t>
            </w:r>
            <w:r>
              <w:rPr>
                <w:color w:val="000000"/>
              </w:rPr>
              <w:t>7 году оценки эффективности льгот, действовавших на территории в 20</w:t>
            </w:r>
            <w:r>
              <w:rPr>
                <w:color w:val="000000"/>
              </w:rPr>
              <w:t>16 году.</w:t>
            </w:r>
          </w:p>
        </w:tc>
      </w:tr>
      <w:tr>
        <w:trPr>
          <w:trHeight w:hRule="atLeast" w:val="1706"/>
        </w:trPr>
        <w:tc>
          <w:tcPr>
            <w:tcW w:type="dxa" w:w="73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4110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рассмотрения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принятое решение (отменить/сохранить)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реквизиты нормативного правового акта, принятого в 2016 году (при наличии)</w:t>
            </w:r>
          </w:p>
        </w:tc>
      </w:tr>
      <w:tr>
        <w:trPr>
          <w:trHeight w:hRule="atLeast" w:val="214"/>
        </w:trPr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rFonts w:ascii="Calibri" w:hAnsi="Calibri"/>
                <w:i w:val="1"/>
                <w:color w:val="000000"/>
                <w:sz w:val="20"/>
              </w:rPr>
            </w:pPr>
            <w:r>
              <w:rPr>
                <w:rFonts w:ascii="Calibri" w:hAnsi="Calibri"/>
                <w:i w:val="1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3</w:t>
            </w:r>
          </w:p>
        </w:tc>
        <w:tc>
          <w:tcPr>
            <w:tcW w:type="dxa" w:w="4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5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7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693"/>
        </w:trPr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Тацинский район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Углегорское</w:t>
            </w:r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t>Углегорского</w:t>
            </w:r>
            <w:r>
              <w:rPr>
                <w:color w:val="000000"/>
              </w:rPr>
              <w:t xml:space="preserve"> сельского поселения от 15.04.2011г  № 18</w:t>
            </w:r>
          </w:p>
        </w:tc>
        <w:tc>
          <w:tcPr>
            <w:tcW w:type="dxa" w:w="4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1) Герои Советского Союза, Герои Российской Федерации, Герои Социалистического труда и полные кавалеры ордена Славы и за службу Родине в Вооруженных Силах СССР;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2) Инвалиды, I и II группы инвалидности;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3) Участники Великой Отечественной войны;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4)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 военного назначения;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5)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6) Физические лица, получившие или перенесшие лучевую болезнь или ставшие инвалидами в результате испытании, учений или иных работ, связанных с любыми видами ядерных установок, включая ядерное оружие и комическую технику.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7) граждане Российской Федерации, проживающие на территории </w:t>
            </w:r>
            <w:r>
              <w:rPr>
                <w:color w:val="000000"/>
              </w:rPr>
              <w:t>Углегорского</w:t>
            </w:r>
            <w:r>
              <w:rPr>
                <w:color w:val="000000"/>
              </w:rPr>
              <w:t xml:space="preserve"> сельского поселения не менее 5 лет, имеющие трех и</w:t>
            </w:r>
            <w:r>
              <w:rPr>
                <w:color w:val="000000"/>
              </w:rPr>
              <w:t xml:space="preserve"> более несовершеннолетних детей;</w:t>
            </w:r>
          </w:p>
          <w:p>
            <w:pPr>
              <w:pStyle w:val="Style_2"/>
              <w:tabs>
                <w:tab w:leader="none" w:pos="1620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военнослужащих, направленных в другие государства органами государственной власти СССР, органами государственной власти Российской Федерации и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Федерации.</w:t>
            </w:r>
          </w:p>
          <w:p>
            <w:pPr>
              <w:rPr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полное освобождение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10.05.201</w:t>
            </w:r>
            <w:r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г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сохранить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</w:tbl>
    <w:p>
      <w:pPr>
        <w:ind w:firstLine="540" w:left="0"/>
        <w:jc w:val="right"/>
        <w:rPr>
          <w:sz w:val="28"/>
        </w:rPr>
      </w:pPr>
    </w:p>
    <w:p>
      <w:pPr>
        <w:ind w:firstLine="708" w:left="0"/>
        <w:jc w:val="both"/>
        <w:rPr>
          <w:sz w:val="28"/>
        </w:rPr>
      </w:pPr>
      <w:r>
        <w:rPr>
          <w:sz w:val="28"/>
        </w:rPr>
        <w:t>В 201</w:t>
      </w:r>
      <w:r>
        <w:rPr>
          <w:sz w:val="28"/>
        </w:rPr>
        <w:t xml:space="preserve">6 </w:t>
      </w:r>
      <w:r>
        <w:rPr>
          <w:sz w:val="28"/>
        </w:rPr>
        <w:t>году поступления по земельному налогу с учетом недоимки прошлых лет в бюджет муници</w:t>
      </w:r>
      <w:r>
        <w:rPr>
          <w:sz w:val="28"/>
        </w:rPr>
        <w:t xml:space="preserve">пального образования составили </w:t>
      </w:r>
      <w:r>
        <w:rPr>
          <w:sz w:val="28"/>
        </w:rPr>
        <w:t>199,1</w:t>
      </w:r>
      <w:r>
        <w:rPr>
          <w:sz w:val="28"/>
        </w:rPr>
        <w:t xml:space="preserve"> тыс. рублей при плановом задании в  199,5</w:t>
      </w:r>
      <w:r>
        <w:rPr>
          <w:sz w:val="28"/>
        </w:rPr>
        <w:t xml:space="preserve"> тыс. рублей, исполнено на 100 %. </w:t>
      </w:r>
    </w:p>
    <w:p>
      <w:pPr>
        <w:ind/>
        <w:jc w:val="both"/>
        <w:rPr>
          <w:sz w:val="28"/>
        </w:rPr>
      </w:pPr>
      <w:r>
        <w:rPr>
          <w:sz w:val="28"/>
        </w:rPr>
        <w:t xml:space="preserve">    По результатам обсуждения эффект</w:t>
      </w:r>
      <w:r>
        <w:rPr>
          <w:sz w:val="28"/>
        </w:rPr>
        <w:t>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ind w:firstLine="360" w:left="0"/>
        <w:jc w:val="both"/>
        <w:rPr>
          <w:sz w:val="28"/>
        </w:rPr>
      </w:pPr>
    </w:p>
    <w:p>
      <w:pPr>
        <w:ind/>
        <w:jc w:val="both"/>
        <w:rPr>
          <w:sz w:val="28"/>
        </w:rPr>
      </w:pPr>
    </w:p>
    <w:p>
      <w:pPr>
        <w:rPr>
          <w:b w:val="1"/>
          <w:color w:val="000000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Начальник сектора </w:t>
      </w:r>
    </w:p>
    <w:p>
      <w:pPr>
        <w:rPr>
          <w:b w:val="1"/>
          <w:color w:val="000000"/>
          <w:sz w:val="28"/>
        </w:rPr>
      </w:pPr>
      <w:r>
        <w:rPr>
          <w:sz w:val="28"/>
        </w:rPr>
        <w:t xml:space="preserve">экономики и финансов </w:t>
      </w:r>
      <w:r>
        <w:rPr>
          <w:sz w:val="28"/>
        </w:rPr>
        <w:t xml:space="preserve">                                                          О.В. Шейченко</w:t>
      </w: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ind/>
        <w:jc w:val="right"/>
        <w:rPr>
          <w:color w:val="000000"/>
        </w:rPr>
      </w:pPr>
    </w:p>
    <w:p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>
      <w:pPr>
        <w:ind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ind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Углегорского</w:t>
      </w:r>
      <w:r>
        <w:rPr>
          <w:color w:val="000000"/>
        </w:rPr>
        <w:t xml:space="preserve"> сельского поселения</w:t>
      </w:r>
    </w:p>
    <w:p>
      <w:pPr>
        <w:ind/>
        <w:jc w:val="right"/>
        <w:rPr>
          <w:color w:val="000000"/>
        </w:rPr>
      </w:pPr>
      <w:r>
        <w:rPr>
          <w:color w:val="000000"/>
        </w:rPr>
        <w:t xml:space="preserve"> от </w:t>
      </w:r>
      <w:r>
        <w:rPr>
          <w:color w:val="000000"/>
        </w:rPr>
        <w:t>10.05.</w:t>
      </w:r>
      <w:r>
        <w:rPr>
          <w:color w:val="000000"/>
        </w:rPr>
        <w:t>201</w:t>
      </w:r>
      <w:r>
        <w:rPr>
          <w:color w:val="000000"/>
        </w:rPr>
        <w:t xml:space="preserve">7 </w:t>
      </w:r>
      <w:r>
        <w:rPr>
          <w:color w:val="000000"/>
        </w:rPr>
        <w:t xml:space="preserve">г. № </w:t>
      </w:r>
      <w:r>
        <w:rPr>
          <w:color w:val="000000"/>
        </w:rPr>
        <w:t>43</w:t>
      </w:r>
    </w:p>
    <w:p>
      <w:pPr>
        <w:ind/>
        <w:jc w:val="center"/>
        <w:rPr>
          <w:color w:val="000000"/>
          <w:sz w:val="28"/>
        </w:rPr>
      </w:pPr>
    </w:p>
    <w:p>
      <w:pPr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езультат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рассмотрения оценки эффективности налоговых</w:t>
      </w:r>
      <w:r>
        <w:rPr>
          <w:b w:val="1"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 w:val="1"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</w:t>
      </w:r>
      <w:r>
        <w:rPr>
          <w:color w:val="000000"/>
          <w:sz w:val="28"/>
        </w:rPr>
        <w:t xml:space="preserve"> образованием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Углегорское</w:t>
      </w:r>
      <w:r>
        <w:rPr>
          <w:color w:val="000000"/>
          <w:sz w:val="28"/>
        </w:rPr>
        <w:t xml:space="preserve"> сельское поселение»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 налогу на имущество физических лиц</w:t>
      </w:r>
    </w:p>
    <w:p>
      <w:pPr>
        <w:ind/>
        <w:jc w:val="both"/>
        <w:rPr>
          <w:sz w:val="28"/>
        </w:rPr>
      </w:pPr>
    </w:p>
    <w:p>
      <w:pPr>
        <w:ind w:firstLine="708" w:left="0"/>
        <w:jc w:val="both"/>
        <w:rPr>
          <w:sz w:val="28"/>
        </w:rPr>
      </w:pPr>
      <w:r>
        <w:rPr>
          <w:sz w:val="28"/>
        </w:rPr>
        <w:t>Оценка бюджетной и социальной эффективности предоставляемых</w:t>
      </w:r>
      <w:r>
        <w:rPr>
          <w:sz w:val="28"/>
        </w:rPr>
        <w:t xml:space="preserve"> (планируемых к предоставлению) налоговых л</w:t>
      </w:r>
      <w:r>
        <w:rPr>
          <w:sz w:val="28"/>
        </w:rPr>
        <w:t>ьгот проведена</w:t>
      </w:r>
      <w:r>
        <w:rPr>
          <w:sz w:val="28"/>
        </w:rPr>
        <w:t xml:space="preserve"> </w:t>
      </w:r>
      <w:r>
        <w:rPr>
          <w:sz w:val="28"/>
        </w:rPr>
        <w:t xml:space="preserve">по налогу на имущество физических лиц </w:t>
      </w:r>
      <w:r>
        <w:rPr>
          <w:sz w:val="28"/>
        </w:rPr>
        <w:t xml:space="preserve"> в отношении каждой из предоставленных льгот и по каждой категории их получателей.</w:t>
      </w:r>
    </w:p>
    <w:p>
      <w:pPr>
        <w:ind w:firstLine="709" w:left="0"/>
        <w:jc w:val="both"/>
        <w:rPr>
          <w:sz w:val="28"/>
        </w:rPr>
      </w:pPr>
      <w:r>
        <w:rPr>
          <w:sz w:val="28"/>
        </w:rPr>
        <w:t xml:space="preserve">Категории налогоплательщиков, освобожденных от уплаты налога на имущество физических лиц установлены </w:t>
      </w:r>
      <w:r>
        <w:rPr>
          <w:sz w:val="28"/>
        </w:rPr>
        <w:t>были на 201</w:t>
      </w:r>
      <w:r>
        <w:rPr>
          <w:sz w:val="28"/>
        </w:rPr>
        <w:t xml:space="preserve">6 год в соответствие </w:t>
      </w:r>
      <w:r>
        <w:rPr>
          <w:sz w:val="28"/>
        </w:rPr>
        <w:t>со статьей 4 Закона РФ от 09.12.1991г. №2003-1 «О налогах на имущество физических лиц»</w:t>
      </w:r>
      <w:r>
        <w:rPr>
          <w:sz w:val="28"/>
        </w:rPr>
        <w:t xml:space="preserve"> и</w:t>
      </w:r>
      <w:r>
        <w:rPr>
          <w:sz w:val="28"/>
        </w:rPr>
        <w:t xml:space="preserve"> действуют в полном объеме</w:t>
      </w:r>
      <w:r>
        <w:rPr>
          <w:sz w:val="28"/>
        </w:rPr>
        <w:t xml:space="preserve"> в связи с принятием Федерального закона от 04.10.2014г. №284-ФЗ </w:t>
      </w:r>
      <w:hyperlink r:id="rId3">
        <w:r>
          <w:rPr>
            <w:sz w:val="28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</w:t>
        </w:r>
        <w:r>
          <w:rPr>
            <w:sz w:val="28"/>
          </w:rPr>
          <w:t>в соответствие со</w:t>
        </w:r>
      </w:hyperlink>
      <w:r>
        <w:rPr>
          <w:sz w:val="28"/>
        </w:rPr>
        <w:t xml:space="preserve"> </w:t>
      </w:r>
      <w:r>
        <w:rPr>
          <w:sz w:val="28"/>
        </w:rPr>
        <w:t>статьей 4</w:t>
      </w:r>
      <w:r>
        <w:rPr>
          <w:sz w:val="28"/>
        </w:rPr>
        <w:t>07</w:t>
      </w:r>
      <w:r>
        <w:rPr>
          <w:sz w:val="28"/>
        </w:rPr>
        <w:t xml:space="preserve"> </w:t>
      </w:r>
      <w:r>
        <w:rPr>
          <w:rStyle w:val="Style_7_ch"/>
          <w:sz w:val="28"/>
        </w:rPr>
        <w:t>главы 32 Налогового  кодекса Российской Федерации</w:t>
      </w:r>
      <w:r>
        <w:rPr>
          <w:sz w:val="28"/>
        </w:rPr>
        <w:t>.</w:t>
      </w:r>
    </w:p>
    <w:p>
      <w:pPr>
        <w:ind w:firstLine="567" w:left="0"/>
        <w:jc w:val="both"/>
        <w:rPr>
          <w:sz w:val="28"/>
        </w:rPr>
      </w:pPr>
      <w:r>
        <w:rPr>
          <w:sz w:val="28"/>
        </w:rPr>
        <w:t xml:space="preserve">Ставки налога на имущество установлены решением Собрания депутатов Углегорского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18.09.201</w:t>
      </w:r>
      <w:r>
        <w:rPr>
          <w:sz w:val="28"/>
        </w:rPr>
        <w:t xml:space="preserve">5 </w:t>
      </w:r>
      <w:r>
        <w:rPr>
          <w:sz w:val="28"/>
        </w:rPr>
        <w:t>г №</w:t>
      </w:r>
      <w:r>
        <w:rPr>
          <w:sz w:val="28"/>
        </w:rPr>
        <w:t xml:space="preserve"> 97 «О налоге на имущество физических лиц» с изменениями и дополнениями.</w:t>
      </w:r>
    </w:p>
    <w:p>
      <w:pPr>
        <w:pStyle w:val="Style_4"/>
        <w:spacing w:after="0" w:before="0"/>
        <w:ind w:firstLine="540" w:left="0"/>
        <w:rPr>
          <w:rFonts w:ascii="Times New Roman" w:hAnsi="Times New Roman"/>
        </w:rPr>
      </w:pPr>
      <w:r>
        <w:rPr>
          <w:rFonts w:ascii="Times New Roman" w:hAnsi="Times New Roman"/>
        </w:rPr>
        <w:t>Общая сумма предоставленных в 201</w:t>
      </w:r>
      <w:r>
        <w:rPr>
          <w:rFonts w:ascii="Times New Roman" w:hAnsi="Times New Roman"/>
        </w:rPr>
        <w:t xml:space="preserve">6 году льгот по налогу на имущество физических лиц </w:t>
      </w:r>
      <w:r>
        <w:rPr>
          <w:rFonts w:ascii="Times New Roman" w:hAnsi="Times New Roman"/>
        </w:rPr>
        <w:t xml:space="preserve">составила </w:t>
      </w:r>
      <w:r>
        <w:rPr>
          <w:rFonts w:ascii="Times New Roman" w:hAnsi="Times New Roman"/>
        </w:rPr>
        <w:t>0,3</w:t>
      </w:r>
      <w:r>
        <w:rPr>
          <w:rFonts w:ascii="Times New Roman" w:hAnsi="Times New Roman"/>
        </w:rPr>
        <w:t xml:space="preserve"> тыс. рублей. </w:t>
      </w:r>
    </w:p>
    <w:p>
      <w:pPr>
        <w:pStyle w:val="Style_4"/>
        <w:spacing w:after="0" w:before="0"/>
        <w:ind w:firstLine="540" w:left="0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>
      <w:pPr>
        <w:pStyle w:val="Style_5"/>
        <w:tabs>
          <w:tab w:leader="none" w:pos="1305" w:val="left"/>
        </w:tabs>
        <w:spacing w:line="240" w:lineRule="auto"/>
        <w:ind w:firstLine="0" w:left="0"/>
        <w:jc w:val="right"/>
        <w:rPr>
          <w:b w:val="1"/>
          <w:color w:val="FF0000"/>
          <w:sz w:val="28"/>
        </w:rPr>
      </w:pPr>
      <w:r>
        <w:t>Таблица №1.</w:t>
      </w:r>
    </w:p>
    <w:tbl>
      <w:tblPr>
        <w:tblStyle w:val="Style_6"/>
        <w:tblInd w:type="dxa" w:w="-601"/>
      </w:tblPr>
      <w:tblGrid>
        <w:gridCol w:w="709"/>
        <w:gridCol w:w="851"/>
        <w:gridCol w:w="1134"/>
        <w:gridCol w:w="3686"/>
        <w:gridCol w:w="850"/>
        <w:gridCol w:w="851"/>
        <w:gridCol w:w="850"/>
        <w:gridCol w:w="1134"/>
        <w:gridCol w:w="1276"/>
      </w:tblGrid>
      <w:tr>
        <w:trPr>
          <w:trHeight w:hRule="atLeast" w:val="305"/>
        </w:trPr>
        <w:tc>
          <w:tcPr>
            <w:tcW w:type="dxa" w:w="709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Наименование муниципального района</w:t>
            </w:r>
          </w:p>
        </w:tc>
        <w:tc>
          <w:tcPr>
            <w:tcW w:type="dxa" w:w="851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Наименование поселения</w:t>
            </w:r>
          </w:p>
        </w:tc>
        <w:tc>
          <w:tcPr>
            <w:tcW w:type="dxa" w:w="1134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rPr>
                <w:color w:val="000000"/>
                <w:sz w:val="22"/>
              </w:rPr>
            </w:pPr>
            <w:r>
              <w:rPr>
                <w:color w:val="00000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type="dxa" w:w="8647"/>
            <w:gridSpan w:val="6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по итогам 201</w:t>
            </w:r>
            <w:r>
              <w:rPr>
                <w:color w:val="000000"/>
              </w:rPr>
              <w:t>6 года</w:t>
            </w:r>
          </w:p>
        </w:tc>
      </w:tr>
      <w:tr>
        <w:trPr>
          <w:trHeight w:hRule="atLeast" w:val="214"/>
        </w:trPr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3686"/>
            <w:vMerge w:val="restart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пониженной ставки, полное или частичное освобождение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предоставленных льгот и ставок</w:t>
            </w:r>
          </w:p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type="dxa" w:w="32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 результатах произведенной в 201</w:t>
            </w:r>
            <w:r>
              <w:rPr>
                <w:color w:val="000000"/>
              </w:rPr>
              <w:t>7 году оценки эффективности льгот, действовавших на территории в 201</w:t>
            </w:r>
            <w:r>
              <w:rPr>
                <w:color w:val="000000"/>
              </w:rPr>
              <w:t>6 году.</w:t>
            </w:r>
          </w:p>
        </w:tc>
      </w:tr>
      <w:tr>
        <w:trPr>
          <w:trHeight w:hRule="atLeast" w:val="1493"/>
        </w:trPr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рассмотрения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принятое решение (отменить/сохранить)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реквизиты нормативн</w:t>
            </w:r>
            <w:r>
              <w:rPr>
                <w:color w:val="000000"/>
              </w:rPr>
              <w:t xml:space="preserve">ого правового акта, принятого в </w:t>
            </w:r>
            <w:r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году (при наличии)</w:t>
            </w:r>
          </w:p>
        </w:tc>
      </w:tr>
      <w:tr>
        <w:trPr>
          <w:trHeight w:hRule="atLeast" w:val="170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rFonts w:ascii="Calibri" w:hAnsi="Calibri"/>
                <w:i w:val="1"/>
                <w:color w:val="000000"/>
                <w:sz w:val="20"/>
              </w:rPr>
            </w:pPr>
            <w:r>
              <w:rPr>
                <w:rFonts w:ascii="Calibri" w:hAnsi="Calibri"/>
                <w:i w:val="1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3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1686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Тацинский район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Углегорское</w:t>
            </w:r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t>Углегорского</w:t>
            </w:r>
            <w:r>
              <w:rPr>
                <w:color w:val="000000"/>
              </w:rPr>
              <w:t xml:space="preserve"> сельского поселения от </w:t>
            </w:r>
            <w:r>
              <w:rPr>
                <w:color w:val="000000"/>
              </w:rPr>
              <w:t>15.04.2011г №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Герои Советского Союза; Герои Российской Федерации,; полные кавалеры орденов Славы; Граждане, подвергавшиеся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Герои Социалистического труда; Полные кавалеры орденов  Трудовой Славы и «За службу Родине в Вооруженных силах СССР»; Инвалиды I и II    групп;  Участники Великой Отечественной войны; Пенсионеры; Семьи, имеющие детей-инвалидов</w:t>
            </w:r>
          </w:p>
          <w:p>
            <w:pPr>
              <w:rPr>
                <w:color w:val="000000"/>
                <w:sz w:val="20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полное освобождение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r>
              <w:rPr>
                <w:color w:val="000000"/>
              </w:rPr>
              <w:t>0,3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10.05.201</w:t>
            </w:r>
            <w:r>
              <w:rPr>
                <w:color w:val="000000"/>
              </w:rPr>
              <w:t>7г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сохранить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</w:tbl>
    <w:p>
      <w:pPr>
        <w:pStyle w:val="Style_8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>
      <w:pPr>
        <w:ind w:firstLine="708" w:left="0"/>
        <w:jc w:val="both"/>
        <w:rPr>
          <w:sz w:val="28"/>
        </w:rPr>
      </w:pPr>
      <w:r>
        <w:rPr>
          <w:sz w:val="28"/>
        </w:rPr>
        <w:t>В 201</w:t>
      </w:r>
      <w:r>
        <w:rPr>
          <w:sz w:val="28"/>
        </w:rPr>
        <w:t xml:space="preserve">6 году поступления по </w:t>
      </w:r>
      <w:r>
        <w:rPr>
          <w:sz w:val="28"/>
        </w:rPr>
        <w:t>налогу на имущество физических лиц</w:t>
      </w:r>
      <w:r>
        <w:rPr>
          <w:sz w:val="28"/>
        </w:rPr>
        <w:t xml:space="preserve"> с учетом недоимки прошлых лет в бюджет муниципального образования составили </w:t>
      </w:r>
      <w:r>
        <w:rPr>
          <w:sz w:val="28"/>
        </w:rPr>
        <w:t>32,5</w:t>
      </w:r>
      <w:r>
        <w:rPr>
          <w:sz w:val="28"/>
        </w:rPr>
        <w:t xml:space="preserve"> тыс. рублей при плановом задании в  32,9</w:t>
      </w:r>
      <w:r>
        <w:rPr>
          <w:sz w:val="28"/>
        </w:rPr>
        <w:t xml:space="preserve"> тыс</w:t>
      </w:r>
      <w:r>
        <w:rPr>
          <w:sz w:val="28"/>
        </w:rPr>
        <w:t>. рублей, исполнено на 10</w:t>
      </w:r>
      <w:r>
        <w:rPr>
          <w:sz w:val="28"/>
        </w:rPr>
        <w:t>0</w:t>
      </w:r>
      <w:r>
        <w:rPr>
          <w:sz w:val="28"/>
        </w:rPr>
        <w:t xml:space="preserve"> %.</w:t>
      </w:r>
    </w:p>
    <w:p>
      <w:pPr>
        <w:ind/>
        <w:jc w:val="both"/>
        <w:rPr>
          <w:sz w:val="28"/>
        </w:rPr>
      </w:pPr>
      <w:r>
        <w:rPr>
          <w:sz w:val="28"/>
        </w:rPr>
        <w:t xml:space="preserve">    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</w:t>
      </w:r>
      <w:r>
        <w:rPr>
          <w:sz w:val="28"/>
        </w:rPr>
        <w:t>налог</w:t>
      </w:r>
      <w:r>
        <w:rPr>
          <w:sz w:val="28"/>
        </w:rPr>
        <w:t>а</w:t>
      </w:r>
      <w:r>
        <w:rPr>
          <w:sz w:val="28"/>
        </w:rPr>
        <w:t xml:space="preserve"> на имущество физических лиц</w:t>
      </w:r>
      <w:r>
        <w:rPr>
          <w:sz w:val="28"/>
        </w:rPr>
        <w:t xml:space="preserve">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ind/>
        <w:jc w:val="both"/>
        <w:rPr>
          <w:sz w:val="28"/>
        </w:rPr>
      </w:pPr>
    </w:p>
    <w:p>
      <w:pPr>
        <w:ind/>
        <w:jc w:val="both"/>
        <w:rPr>
          <w:sz w:val="28"/>
        </w:rPr>
      </w:pPr>
    </w:p>
    <w:p>
      <w:pPr>
        <w:ind/>
        <w:jc w:val="both"/>
        <w:rPr>
          <w:sz w:val="28"/>
        </w:rPr>
      </w:pPr>
    </w:p>
    <w:p>
      <w:pPr>
        <w:ind/>
        <w:jc w:val="both"/>
        <w:rPr>
          <w:sz w:val="28"/>
        </w:rPr>
      </w:pPr>
    </w:p>
    <w:p>
      <w:pPr>
        <w:ind/>
        <w:jc w:val="both"/>
        <w:rPr>
          <w:sz w:val="28"/>
        </w:rPr>
      </w:pPr>
      <w:r>
        <w:rPr>
          <w:sz w:val="28"/>
        </w:rPr>
        <w:t xml:space="preserve">Начальник сектора </w:t>
      </w:r>
    </w:p>
    <w:p>
      <w:pPr>
        <w:ind/>
        <w:jc w:val="both"/>
        <w:rPr>
          <w:sz w:val="28"/>
        </w:rPr>
        <w:sectPr>
          <w:pgSz w:h="16838" w:w="11906"/>
          <w:pgMar w:bottom="851" w:footer="709" w:gutter="0" w:header="709" w:left="1134" w:right="851" w:top="851"/>
        </w:sectPr>
      </w:pPr>
      <w:r>
        <w:rPr>
          <w:sz w:val="28"/>
        </w:rPr>
        <w:t xml:space="preserve">экономики и финансов </w:t>
      </w:r>
      <w:r>
        <w:rPr>
          <w:sz w:val="28"/>
        </w:rPr>
        <w:t xml:space="preserve">                                                          О.В. Шейченко</w:t>
      </w:r>
    </w:p>
    <w:p>
      <w:pPr>
        <w:tabs>
          <w:tab w:leader="none" w:pos="5670" w:val="left"/>
          <w:tab w:leader="none" w:pos="10348" w:val="left"/>
        </w:tabs>
        <w:ind/>
        <w:rPr>
          <w:b w:val="1"/>
        </w:rPr>
      </w:pPr>
    </w:p>
    <w:sectPr>
      <w:footerReference r:id="rId1" w:type="default"/>
      <w:pgSz w:h="11906" w:w="16838"/>
      <w:pgMar w:bottom="567" w:footer="709" w:gutter="0" w:header="709" w:left="567" w:right="51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w="http://schemas.openxmlformats.org/wordprocessingml/2006/main">
  <w:p>
    <w:pPr>
      <w:pStyle w:val="Style_1"/>
    </w:pPr>
    <w:r>
      <w:t xml:space="preserve">                                                      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Style_1"/>
    </w:pPr>
  </w:p>
</w:ft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style w:default="1" w:styleId="Style_9" w:type="paragraph">
    <w:name w:val="Normal"/>
    <w:link w:val="Style_9_ch"/>
    <w:pPr>
      <w:widowControl w:val="0"/>
      <w:ind/>
    </w:pPr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heading 1"/>
    <w:basedOn w:val="Style_9"/>
    <w:next w:val="Style_9"/>
    <w:link w:val="Style_10_ch"/>
    <w:pPr>
      <w:keepNext w:val="1"/>
      <w:spacing w:after="60" w:before="240"/>
      <w:ind/>
    </w:pPr>
    <w:rPr>
      <w:rFonts w:ascii="Cambria" w:hAnsi="Cambria"/>
      <w:b w:val="1"/>
      <w:sz w:val="32"/>
    </w:rPr>
  </w:style>
  <w:style w:styleId="Style_10_ch" w:type="character">
    <w:name w:val="heading 1"/>
    <w:basedOn w:val="Style_9_ch"/>
    <w:link w:val="Style_10"/>
    <w:rPr>
      <w:rFonts w:ascii="Cambria" w:hAnsi="Cambria"/>
      <w:b w:val="1"/>
      <w:sz w:val="32"/>
    </w:rPr>
  </w:style>
  <w:style w:styleId="Style_11" w:type="paragraph">
    <w:name w:val="heading 2"/>
    <w:basedOn w:val="Style_9"/>
    <w:next w:val="Style_9"/>
    <w:link w:val="Style_11_ch"/>
    <w:pPr>
      <w:keepNext w:val="1"/>
      <w:spacing w:after="60" w:before="240"/>
      <w:ind/>
    </w:pPr>
    <w:rPr>
      <w:rFonts w:ascii="Arial" w:hAnsi="Arial"/>
      <w:b w:val="1"/>
      <w:i w:val="1"/>
      <w:sz w:val="28"/>
    </w:rPr>
  </w:style>
  <w:style w:styleId="Style_11_ch" w:type="character">
    <w:name w:val="heading 2"/>
    <w:basedOn w:val="Style_9_ch"/>
    <w:link w:val="Style_11"/>
    <w:rPr>
      <w:rFonts w:ascii="Arial" w:hAnsi="Arial"/>
      <w:b w:val="1"/>
      <w:i w:val="1"/>
      <w:sz w:val="28"/>
    </w:rPr>
  </w:style>
  <w:style w:styleId="Style_12" w:type="paragraph">
    <w:name w:val="heading 3"/>
    <w:basedOn w:val="Style_9"/>
    <w:next w:val="Style_9"/>
    <w:link w:val="Style_12_ch"/>
    <w:pPr>
      <w:keepNext w:val="1"/>
      <w:spacing w:after="60" w:before="240"/>
      <w:ind/>
    </w:pPr>
    <w:rPr>
      <w:rFonts w:ascii="Arial" w:hAnsi="Arial"/>
      <w:b w:val="1"/>
      <w:sz w:val="26"/>
    </w:rPr>
  </w:style>
  <w:style w:styleId="Style_12_ch" w:type="character">
    <w:name w:val="heading 3"/>
    <w:basedOn w:val="Style_9_ch"/>
    <w:link w:val="Style_12"/>
    <w:rPr>
      <w:rFonts w:ascii="Arial" w:hAnsi="Arial"/>
      <w:b w:val="1"/>
      <w:sz w:val="26"/>
    </w:rPr>
  </w:style>
  <w:style w:styleId="Style_13" w:type="paragraph">
    <w:name w:val="heading 4"/>
    <w:basedOn w:val="Style_9"/>
    <w:next w:val="Style_9"/>
    <w:link w:val="Style_13_ch"/>
    <w:pPr>
      <w:keepNext w:val="1"/>
      <w:ind/>
      <w:jc w:val="both"/>
    </w:pPr>
    <w:rPr>
      <w:sz w:val="28"/>
    </w:rPr>
  </w:style>
  <w:style w:styleId="Style_13_ch" w:type="character">
    <w:name w:val="heading 4"/>
    <w:basedOn w:val="Style_9_ch"/>
    <w:link w:val="Style_13"/>
    <w:rPr>
      <w:sz w:val="28"/>
    </w:rPr>
  </w:style>
  <w:style w:styleId="Style_14" w:type="paragraph">
    <w:name w:val="heading 5"/>
    <w:basedOn w:val="Style_9"/>
    <w:next w:val="Style_9"/>
    <w:link w:val="Style_14_ch"/>
    <w:pPr>
      <w:spacing w:after="60" w:before="240"/>
      <w:ind/>
    </w:pPr>
    <w:rPr>
      <w:b w:val="1"/>
      <w:i w:val="1"/>
      <w:sz w:val="26"/>
    </w:rPr>
  </w:style>
  <w:style w:styleId="Style_14_ch" w:type="character">
    <w:name w:val="heading 5"/>
    <w:basedOn w:val="Style_9_ch"/>
    <w:link w:val="Style_14"/>
    <w:rPr>
      <w:b w:val="1"/>
      <w:i w:val="1"/>
      <w:sz w:val="26"/>
    </w:rPr>
  </w:style>
  <w:style w:styleId="Style_15" w:type="paragraph">
    <w:name w:val="heading 7"/>
    <w:basedOn w:val="Style_9"/>
    <w:next w:val="Style_9"/>
    <w:link w:val="Style_15_ch"/>
    <w:pPr>
      <w:spacing w:after="60" w:before="240"/>
      <w:ind/>
    </w:pPr>
  </w:style>
  <w:style w:styleId="Style_15_ch" w:type="character">
    <w:name w:val="heading 7"/>
    <w:basedOn w:val="Style_9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Postan"/>
    <w:basedOn w:val="Style_9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9_ch"/>
    <w:link w:val="Style_17"/>
    <w:rPr>
      <w:sz w:val="28"/>
    </w:rPr>
  </w:style>
  <w:style w:styleId="Style_18" w:type="paragraph">
    <w:name w:val="Body Text"/>
    <w:basedOn w:val="Style_9"/>
    <w:link w:val="Style_18_ch"/>
    <w:pPr>
      <w:spacing w:after="120"/>
      <w:ind/>
    </w:pPr>
  </w:style>
  <w:style w:styleId="Style_18_ch" w:type="character">
    <w:name w:val="Body Text"/>
    <w:basedOn w:val="Style_9_ch"/>
    <w:link w:val="Style_18"/>
  </w:style>
  <w:style w:styleId="Style_19" w:type="paragraph">
    <w:name w:val="Body Text Indent"/>
    <w:basedOn w:val="Style_9"/>
    <w:link w:val="Style_19_ch"/>
    <w:pPr>
      <w:ind w:firstLine="709" w:left="0"/>
      <w:jc w:val="both"/>
    </w:pPr>
    <w:rPr>
      <w:sz w:val="28"/>
    </w:rPr>
  </w:style>
  <w:style w:styleId="Style_19_ch" w:type="character">
    <w:name w:val="Body Text Indent"/>
    <w:basedOn w:val="Style_9_ch"/>
    <w:link w:val="Style_19"/>
    <w:rPr>
      <w:sz w:val="28"/>
    </w:rPr>
  </w:style>
  <w:style w:styleId="Style_20" w:type="paragraph">
    <w:name w:val="Содержимое таблицы"/>
    <w:basedOn w:val="Style_9"/>
    <w:link w:val="Style_20_ch"/>
  </w:style>
  <w:style w:styleId="Style_20_ch" w:type="character">
    <w:name w:val="Содержимое таблицы"/>
    <w:basedOn w:val="Style_9_ch"/>
    <w:link w:val="Style_20"/>
  </w:style>
  <w:style w:styleId="Style_21" w:type="paragraph">
    <w:name w:val="Заголовок таблицы"/>
    <w:basedOn w:val="Style_20"/>
    <w:link w:val="Style_21_ch"/>
    <w:pPr>
      <w:ind/>
      <w:jc w:val="center"/>
    </w:pPr>
    <w:rPr>
      <w:b w:val="1"/>
      <w:i w:val="1"/>
    </w:rPr>
  </w:style>
  <w:style w:styleId="Style_21_ch" w:type="character">
    <w:name w:val="Заголовок таблицы"/>
    <w:basedOn w:val="Style_20_ch"/>
    <w:link w:val="Style_21"/>
    <w:rPr>
      <w:b w:val="1"/>
      <w:i w:val="1"/>
    </w:rPr>
  </w:style>
  <w:style w:styleId="Style_2" w:type="paragraph">
    <w:name w:val="ConsPlusNormal"/>
    <w:next w:val="Style_9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" w:type="paragraph">
    <w:name w:val="ConsPlusTitle"/>
    <w:basedOn w:val="Style_9"/>
    <w:next w:val="Style_2"/>
    <w:link w:val="Style_3_ch"/>
    <w:rPr>
      <w:rFonts w:ascii="Arial" w:hAnsi="Arial"/>
      <w:b w:val="1"/>
      <w:sz w:val="20"/>
    </w:rPr>
  </w:style>
  <w:style w:styleId="Style_3_ch" w:type="character">
    <w:name w:val="ConsPlusTitle"/>
    <w:basedOn w:val="Style_9_ch"/>
    <w:link w:val="Style_3"/>
    <w:rPr>
      <w:rFonts w:ascii="Arial" w:hAnsi="Arial"/>
      <w:b w:val="1"/>
      <w:sz w:val="20"/>
    </w:rPr>
  </w:style>
  <w:style w:styleId="Style_22" w:type="paragraph">
    <w:name w:val="Основной текст с отступом 23"/>
    <w:basedOn w:val="Style_9"/>
    <w:link w:val="Style_22_ch"/>
    <w:pPr>
      <w:ind w:firstLine="540" w:left="0"/>
      <w:jc w:val="both"/>
    </w:pPr>
    <w:rPr>
      <w:sz w:val="28"/>
    </w:rPr>
  </w:style>
  <w:style w:styleId="Style_22_ch" w:type="character">
    <w:name w:val="Основной текст с отступом 23"/>
    <w:basedOn w:val="Style_9_ch"/>
    <w:link w:val="Style_22"/>
    <w:rPr>
      <w:sz w:val="28"/>
    </w:rPr>
  </w:style>
  <w:style w:styleId="Style_23" w:type="paragraph">
    <w:name w:val="header"/>
    <w:basedOn w:val="Style_9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9_ch"/>
    <w:link w:val="Style_23"/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9_ch"/>
    <w:link w:val="Style_1"/>
  </w:style>
  <w:style w:styleId="Style_24" w:type="paragraph">
    <w:name w:val="ConsTitle"/>
    <w:link w:val="Style_24_ch"/>
    <w:pPr>
      <w:widowControl w:val="0"/>
      <w:ind w:right="19772"/>
    </w:pPr>
    <w:rPr>
      <w:rFonts w:ascii="Arial" w:hAnsi="Arial"/>
      <w:b w:val="1"/>
      <w:sz w:val="16"/>
    </w:rPr>
  </w:style>
  <w:style w:styleId="Style_24_ch" w:type="character">
    <w:name w:val="ConsTitle"/>
    <w:link w:val="Style_24"/>
    <w:rPr>
      <w:rFonts w:ascii="Arial" w:hAnsi="Arial"/>
      <w:b w:val="1"/>
      <w:sz w:val="16"/>
    </w:rPr>
  </w:style>
  <w:style w:styleId="Style_25" w:type="paragraph">
    <w:name w:val="Balloon Text"/>
    <w:basedOn w:val="Style_9"/>
    <w:link w:val="Style_25_ch"/>
    <w:rPr>
      <w:rFonts w:ascii="Tahoma" w:hAnsi="Tahoma"/>
      <w:sz w:val="16"/>
    </w:rPr>
  </w:style>
  <w:style w:styleId="Style_25_ch" w:type="character">
    <w:name w:val="Balloon Text"/>
    <w:basedOn w:val="Style_9_ch"/>
    <w:link w:val="Style_25"/>
    <w:rPr>
      <w:rFonts w:ascii="Tahoma" w:hAnsi="Tahoma"/>
      <w:sz w:val="16"/>
    </w:rPr>
  </w:style>
  <w:style w:styleId="Style_26" w:type="paragraph">
    <w:name w:val="Default"/>
    <w:link w:val="Style_26_ch"/>
    <w:pPr>
      <w:widowControl w:val="0"/>
      <w:ind/>
    </w:pPr>
    <w:rPr>
      <w:rFonts w:ascii="Times-New-Roman,Bold" w:hAnsi="Times-New-Roman,Bold"/>
      <w:color w:val="000000"/>
      <w:sz w:val="24"/>
    </w:rPr>
  </w:style>
  <w:style w:styleId="Style_26_ch" w:type="character">
    <w:name w:val="Default"/>
    <w:link w:val="Style_26"/>
    <w:rPr>
      <w:rFonts w:ascii="Times-New-Roman,Bold" w:hAnsi="Times-New-Roman,Bold"/>
      <w:color w:val="000000"/>
      <w:sz w:val="24"/>
    </w:rPr>
  </w:style>
  <w:style w:styleId="Style_27" w:type="paragraph">
    <w:name w:val="CM12"/>
    <w:basedOn w:val="Style_26"/>
    <w:next w:val="Style_26"/>
    <w:link w:val="Style_27_ch"/>
    <w:pPr>
      <w:spacing w:after="418"/>
      <w:ind/>
    </w:pPr>
    <w:rPr>
      <w:color w:val="000000"/>
    </w:rPr>
  </w:style>
  <w:style w:styleId="Style_27_ch" w:type="character">
    <w:name w:val="CM12"/>
    <w:basedOn w:val="Style_26_ch"/>
    <w:link w:val="Style_27"/>
    <w:rPr>
      <w:color w:val="000000"/>
    </w:rPr>
  </w:style>
  <w:style w:styleId="Style_28" w:type="paragraph">
    <w:name w:val="CM1"/>
    <w:basedOn w:val="Style_26"/>
    <w:next w:val="Style_26"/>
    <w:link w:val="Style_28_ch"/>
    <w:pPr>
      <w:spacing w:line="280" w:lineRule="atLeast"/>
      <w:ind/>
    </w:pPr>
    <w:rPr>
      <w:color w:val="000000"/>
    </w:rPr>
  </w:style>
  <w:style w:styleId="Style_28_ch" w:type="character">
    <w:name w:val="CM1"/>
    <w:basedOn w:val="Style_26_ch"/>
    <w:link w:val="Style_28"/>
    <w:rPr>
      <w:color w:val="000000"/>
    </w:rPr>
  </w:style>
  <w:style w:styleId="Style_29" w:type="paragraph">
    <w:name w:val="CM13"/>
    <w:basedOn w:val="Style_26"/>
    <w:next w:val="Style_26"/>
    <w:link w:val="Style_29_ch"/>
    <w:pPr>
      <w:spacing w:after="700"/>
      <w:ind/>
    </w:pPr>
    <w:rPr>
      <w:color w:val="000000"/>
    </w:rPr>
  </w:style>
  <w:style w:styleId="Style_29_ch" w:type="character">
    <w:name w:val="CM13"/>
    <w:basedOn w:val="Style_26_ch"/>
    <w:link w:val="Style_29"/>
    <w:rPr>
      <w:color w:val="000000"/>
    </w:rPr>
  </w:style>
  <w:style w:styleId="Style_30" w:type="paragraph">
    <w:name w:val="CM15"/>
    <w:basedOn w:val="Style_26"/>
    <w:next w:val="Style_26"/>
    <w:link w:val="Style_30_ch"/>
    <w:pPr>
      <w:spacing w:after="150"/>
      <w:ind/>
    </w:pPr>
    <w:rPr>
      <w:color w:val="000000"/>
    </w:rPr>
  </w:style>
  <w:style w:styleId="Style_30_ch" w:type="character">
    <w:name w:val="CM15"/>
    <w:basedOn w:val="Style_26_ch"/>
    <w:link w:val="Style_30"/>
    <w:rPr>
      <w:color w:val="000000"/>
    </w:rPr>
  </w:style>
  <w:style w:styleId="Style_31" w:type="paragraph">
    <w:name w:val="CM4"/>
    <w:basedOn w:val="Style_26"/>
    <w:next w:val="Style_26"/>
    <w:link w:val="Style_31_ch"/>
    <w:pPr>
      <w:spacing w:line="288" w:lineRule="atLeast"/>
      <w:ind/>
    </w:pPr>
    <w:rPr>
      <w:color w:val="000000"/>
    </w:rPr>
  </w:style>
  <w:style w:styleId="Style_31_ch" w:type="character">
    <w:name w:val="CM4"/>
    <w:basedOn w:val="Style_26_ch"/>
    <w:link w:val="Style_31"/>
    <w:rPr>
      <w:color w:val="000000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32" w:type="paragraph">
    <w:name w:val="Заголовок статьи"/>
    <w:basedOn w:val="Style_9"/>
    <w:next w:val="Style_9"/>
    <w:link w:val="Style_32_ch"/>
    <w:pPr>
      <w:widowControl w:val="1"/>
      <w:ind w:hanging="892" w:left="1612"/>
      <w:jc w:val="both"/>
    </w:pPr>
    <w:rPr>
      <w:rFonts w:ascii="Arial" w:hAnsi="Arial"/>
    </w:rPr>
  </w:style>
  <w:style w:styleId="Style_32_ch" w:type="character">
    <w:name w:val="Заголовок статьи"/>
    <w:basedOn w:val="Style_9_ch"/>
    <w:link w:val="Style_32"/>
    <w:rPr>
      <w:rFonts w:ascii="Arial" w:hAnsi="Arial"/>
    </w:rPr>
  </w:style>
  <w:style w:styleId="Style_33" w:type="paragraph">
    <w:name w:val="footnote text"/>
    <w:basedOn w:val="Style_9"/>
    <w:link w:val="Style_33_ch"/>
    <w:pPr>
      <w:widowControl w:val="1"/>
      <w:ind/>
    </w:pPr>
    <w:rPr>
      <w:sz w:val="20"/>
    </w:rPr>
  </w:style>
  <w:style w:styleId="Style_33_ch" w:type="character">
    <w:name w:val="footnote text"/>
    <w:basedOn w:val="Style_9_ch"/>
    <w:link w:val="Style_33"/>
    <w:rPr>
      <w:sz w:val="20"/>
    </w:rPr>
  </w:style>
  <w:style w:styleId="Style_34" w:type="paragraph">
    <w:name w:val="footnote reference"/>
    <w:basedOn w:val="Style_16"/>
    <w:link w:val="Style_34_ch"/>
    <w:rPr>
      <w:vertAlign w:val="superscript"/>
    </w:rPr>
  </w:style>
  <w:style w:styleId="Style_34_ch" w:type="character">
    <w:name w:val="footnote reference"/>
    <w:basedOn w:val="Style_16_ch"/>
    <w:link w:val="Style_34"/>
    <w:rPr>
      <w:vertAlign w:val="superscript"/>
    </w:rPr>
  </w:style>
  <w:style w:styleId="Style_35" w:type="paragraph">
    <w:name w:val="iceouttxt5"/>
    <w:basedOn w:val="Style_16"/>
    <w:link w:val="Style_35_ch"/>
    <w:rPr>
      <w:rFonts w:ascii="Arial" w:hAnsi="Arial"/>
      <w:color w:val="666666"/>
      <w:sz w:val="17"/>
    </w:rPr>
  </w:style>
  <w:style w:styleId="Style_35_ch" w:type="character">
    <w:name w:val="iceouttxt5"/>
    <w:basedOn w:val="Style_16_ch"/>
    <w:link w:val="Style_35"/>
    <w:rPr>
      <w:rFonts w:ascii="Arial" w:hAnsi="Arial"/>
      <w:color w:val="666666"/>
      <w:sz w:val="17"/>
    </w:rPr>
  </w:style>
  <w:style w:styleId="Style_36" w:type="paragraph">
    <w:name w:val="Strong"/>
    <w:basedOn w:val="Style_16"/>
    <w:link w:val="Style_36_ch"/>
    <w:rPr>
      <w:b w:val="1"/>
    </w:rPr>
  </w:style>
  <w:style w:styleId="Style_36_ch" w:type="character">
    <w:name w:val="Strong"/>
    <w:basedOn w:val="Style_16_ch"/>
    <w:link w:val="Style_36"/>
    <w:rPr>
      <w:b w:val="1"/>
    </w:rPr>
  </w:style>
  <w:style w:styleId="Style_37" w:type="paragraph">
    <w:name w:val="page number"/>
    <w:basedOn w:val="Style_16"/>
    <w:link w:val="Style_37_ch"/>
  </w:style>
  <w:style w:styleId="Style_37_ch" w:type="character">
    <w:name w:val="page number"/>
    <w:basedOn w:val="Style_16_ch"/>
    <w:link w:val="Style_37"/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HTML Preformatted"/>
    <w:basedOn w:val="Style_9"/>
    <w:link w:val="Style_39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9_ch" w:type="character">
    <w:name w:val="HTML Preformatted"/>
    <w:basedOn w:val="Style_9_ch"/>
    <w:link w:val="Style_39"/>
    <w:rPr>
      <w:rFonts w:ascii="Courier New" w:hAnsi="Courier New"/>
      <w:sz w:val="20"/>
    </w:rPr>
  </w:style>
  <w:style w:styleId="Style_5" w:type="paragraph">
    <w:name w:val="Основной текст с отступом 21"/>
    <w:basedOn w:val="Style_9"/>
    <w:link w:val="Style_5_ch"/>
    <w:pPr>
      <w:widowControl w:val="1"/>
      <w:spacing w:after="120" w:line="480" w:lineRule="auto"/>
      <w:ind w:firstLine="0" w:left="283"/>
    </w:pPr>
  </w:style>
  <w:style w:styleId="Style_5_ch" w:type="character">
    <w:name w:val="Основной текст с отступом 21"/>
    <w:basedOn w:val="Style_9_ch"/>
    <w:link w:val="Style_5"/>
  </w:style>
  <w:style w:styleId="Style_4" w:type="paragraph">
    <w:name w:val="List"/>
    <w:basedOn w:val="Style_9"/>
    <w:link w:val="Style_4_ch"/>
    <w:pPr>
      <w:widowControl w:val="1"/>
      <w:spacing w:after="40" w:before="40"/>
      <w:ind/>
      <w:jc w:val="both"/>
    </w:pPr>
    <w:rPr>
      <w:rFonts w:ascii="Verdana" w:hAnsi="Verdana"/>
      <w:sz w:val="28"/>
    </w:rPr>
  </w:style>
  <w:style w:styleId="Style_4_ch" w:type="character">
    <w:name w:val="List"/>
    <w:basedOn w:val="Style_9_ch"/>
    <w:link w:val="Style_4"/>
    <w:rPr>
      <w:rFonts w:ascii="Verdana" w:hAnsi="Verdana"/>
      <w:sz w:val="28"/>
    </w:rPr>
  </w:style>
  <w:style w:styleId="Style_7" w:type="paragraph">
    <w:name w:val="Font Style15"/>
    <w:link w:val="Style_7_ch"/>
    <w:rPr>
      <w:rFonts w:ascii="Microsoft Sans Serif" w:hAnsi="Microsoft Sans Serif"/>
      <w:sz w:val="16"/>
    </w:rPr>
  </w:style>
  <w:style w:styleId="Style_7_ch" w:type="character">
    <w:name w:val="Font Style15"/>
    <w:link w:val="Style_7"/>
    <w:rPr>
      <w:rFonts w:ascii="Microsoft Sans Serif" w:hAnsi="Microsoft Sans Serif"/>
      <w:sz w:val="16"/>
    </w:rPr>
  </w:style>
  <w:style w:styleId="Style_40" w:type="paragraph">
    <w:name w:val="Title"/>
    <w:link w:val="Style_40_ch"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41" w:type="paragraph">
    <w:name w:val="Subtitle"/>
    <w:basedOn w:val="Style_9"/>
    <w:link w:val="Style_41_ch"/>
    <w:rPr>
      <w:rFonts w:ascii="XO Thames" w:hAnsi="XO Thames"/>
      <w:i w:val="1"/>
      <w:color w:val="616161"/>
    </w:rPr>
  </w:style>
  <w:style w:styleId="Style_41_ch" w:type="character">
    <w:name w:val="Subtitle"/>
    <w:basedOn w:val="Style_9_ch"/>
    <w:link w:val="Style_41"/>
    <w:rPr>
      <w:rFonts w:ascii="XO Thames" w:hAnsi="XO Thames"/>
      <w:i w:val="1"/>
      <w:color w:val="616161"/>
    </w:rPr>
  </w:style>
  <w:style w:styleId="Style_42" w:type="paragraph">
    <w:name w:val="Header and Footer"/>
    <w:link w:val="Style_42_ch"/>
    <w:pPr>
      <w:spacing w:line="360" w:lineRule="auto"/>
      <w:ind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Footnote"/>
    <w:link w:val="Style_43_ch"/>
    <w:rPr>
      <w:rFonts w:ascii="XO Thames" w:hAnsi="XO Thames"/>
      <w:color w:val="757575"/>
      <w:sz w:val="20"/>
    </w:rPr>
  </w:style>
  <w:style w:styleId="Style_43_ch" w:type="character">
    <w:name w:val="Footnote"/>
    <w:link w:val="Style_43"/>
    <w:rPr>
      <w:rFonts w:ascii="XO Thames" w:hAnsi="XO Thames"/>
      <w:color w:val="757575"/>
      <w:sz w:val="20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тиль таблицы1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3" Target="consultantplus://offline/ref=3AD16F0DD8BCB33469FFF8757943566335B4C2729BD6D22205D45F791A9FC50BE59CA572C75ED6E9p4Z0K" TargetMode="External" Type="http://schemas.openxmlformats.org/officeDocument/2006/relationships/hyperlink"/>
  <Relationship Id="rId2" Target="media/1.jpeg" Type="http://schemas.openxmlformats.org/officeDocument/2006/relationships/image"/>
  <Relationship Id="rId7" Target="stylesWithEffects.xml" Type="http://schemas.microsoft.com/office/2007/relationships/stylesWithEffects"/>
  <Relationship Id="rId4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